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2C9AF" w14:textId="77777777" w:rsidR="00E40F5B" w:rsidRPr="0017608A" w:rsidRDefault="00000000">
      <w:pPr>
        <w:pStyle w:val="Ttulo1"/>
        <w:spacing w:after="240"/>
        <w:rPr>
          <w:lang w:val="en-US"/>
        </w:rPr>
      </w:pPr>
      <w:r w:rsidRPr="0017608A">
        <w:rPr>
          <w:b/>
          <w:bCs/>
          <w:color w:val="1B2A4A"/>
          <w:sz w:val="34"/>
          <w:szCs w:val="34"/>
          <w:lang w:val="en-US"/>
        </w:rPr>
        <w:t>Can One Architecture Firm Really Handle Every Fast-Food Franchise Rollout?</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E40F5B" w:rsidRPr="0017608A" w14:paraId="01392B1D" w14:textId="77777777">
        <w:tblPrEx>
          <w:tblCellMar>
            <w:top w:w="0" w:type="dxa"/>
            <w:bottom w:w="0" w:type="dxa"/>
          </w:tblCellMar>
        </w:tblPrEx>
        <w:tc>
          <w:tcPr>
            <w:tcW w:w="2600" w:type="dxa"/>
            <w:shd w:val="clear" w:color="auto" w:fill="1B2A4A"/>
            <w:tcMar>
              <w:top w:w="100" w:type="dxa"/>
              <w:left w:w="150" w:type="dxa"/>
              <w:bottom w:w="100" w:type="dxa"/>
              <w:right w:w="150" w:type="dxa"/>
            </w:tcMar>
          </w:tcPr>
          <w:p w14:paraId="582FEE9A" w14:textId="77777777" w:rsidR="00E40F5B" w:rsidRDefault="00000000">
            <w:r>
              <w:rPr>
                <w:b/>
                <w:bCs/>
                <w:color w:val="FFFFFF"/>
              </w:rPr>
              <w:t>Title Tag</w:t>
            </w:r>
          </w:p>
        </w:tc>
        <w:tc>
          <w:tcPr>
            <w:tcW w:w="6800" w:type="dxa"/>
            <w:tcMar>
              <w:top w:w="100" w:type="dxa"/>
              <w:left w:w="150" w:type="dxa"/>
              <w:bottom w:w="100" w:type="dxa"/>
              <w:right w:w="150" w:type="dxa"/>
            </w:tcMar>
          </w:tcPr>
          <w:p w14:paraId="41E17458" w14:textId="77777777" w:rsidR="00E40F5B" w:rsidRPr="0017608A" w:rsidRDefault="00000000">
            <w:pPr>
              <w:rPr>
                <w:lang w:val="en-US"/>
              </w:rPr>
            </w:pPr>
            <w:r w:rsidRPr="0017608A">
              <w:rPr>
                <w:lang w:val="en-US"/>
              </w:rPr>
              <w:t>Can One Architecture Firm Handle Every Fast-Food Franchise Rollout?</w:t>
            </w:r>
          </w:p>
        </w:tc>
      </w:tr>
      <w:tr w:rsidR="00E40F5B" w:rsidRPr="0017608A" w14:paraId="06F69CD9" w14:textId="77777777">
        <w:tblPrEx>
          <w:tblCellMar>
            <w:top w:w="0" w:type="dxa"/>
            <w:bottom w:w="0" w:type="dxa"/>
          </w:tblCellMar>
        </w:tblPrEx>
        <w:tc>
          <w:tcPr>
            <w:tcW w:w="2600" w:type="dxa"/>
            <w:shd w:val="clear" w:color="auto" w:fill="1B2A4A"/>
            <w:tcMar>
              <w:top w:w="100" w:type="dxa"/>
              <w:left w:w="150" w:type="dxa"/>
              <w:bottom w:w="100" w:type="dxa"/>
              <w:right w:w="150" w:type="dxa"/>
            </w:tcMar>
          </w:tcPr>
          <w:p w14:paraId="0937B488" w14:textId="77777777" w:rsidR="00E40F5B" w:rsidRDefault="00000000">
            <w:r>
              <w:rPr>
                <w:b/>
                <w:bCs/>
                <w:color w:val="FFFFFF"/>
              </w:rPr>
              <w:t xml:space="preserve">Meta </w:t>
            </w:r>
            <w:proofErr w:type="spellStart"/>
            <w:r>
              <w:rPr>
                <w:b/>
                <w:bCs/>
                <w:color w:val="FFFFFF"/>
              </w:rPr>
              <w:t>Description</w:t>
            </w:r>
            <w:proofErr w:type="spellEnd"/>
          </w:p>
        </w:tc>
        <w:tc>
          <w:tcPr>
            <w:tcW w:w="6800" w:type="dxa"/>
            <w:tcMar>
              <w:top w:w="100" w:type="dxa"/>
              <w:left w:w="150" w:type="dxa"/>
              <w:bottom w:w="100" w:type="dxa"/>
              <w:right w:w="150" w:type="dxa"/>
            </w:tcMar>
          </w:tcPr>
          <w:p w14:paraId="39157357" w14:textId="77777777" w:rsidR="00E40F5B" w:rsidRPr="0017608A" w:rsidRDefault="00000000">
            <w:pPr>
              <w:rPr>
                <w:lang w:val="en-US"/>
              </w:rPr>
            </w:pPr>
            <w:r w:rsidRPr="0017608A">
              <w:rPr>
                <w:lang w:val="en-US"/>
              </w:rPr>
              <w:t xml:space="preserve">Franchisors managing multi-state expansion often wonder if one firm can handle it all. Here's how centralized architecture, permitting, and rollout coordination </w:t>
            </w:r>
            <w:proofErr w:type="gramStart"/>
            <w:r w:rsidRPr="0017608A">
              <w:rPr>
                <w:lang w:val="en-US"/>
              </w:rPr>
              <w:t>actually works</w:t>
            </w:r>
            <w:proofErr w:type="gramEnd"/>
            <w:r w:rsidRPr="0017608A">
              <w:rPr>
                <w:lang w:val="en-US"/>
              </w:rPr>
              <w:t>.</w:t>
            </w:r>
          </w:p>
        </w:tc>
      </w:tr>
      <w:tr w:rsidR="00E40F5B" w:rsidRPr="0017608A" w14:paraId="345F8E15" w14:textId="77777777">
        <w:tblPrEx>
          <w:tblCellMar>
            <w:top w:w="0" w:type="dxa"/>
            <w:bottom w:w="0" w:type="dxa"/>
          </w:tblCellMar>
        </w:tblPrEx>
        <w:tc>
          <w:tcPr>
            <w:tcW w:w="2600" w:type="dxa"/>
            <w:shd w:val="clear" w:color="auto" w:fill="1B2A4A"/>
            <w:tcMar>
              <w:top w:w="100" w:type="dxa"/>
              <w:left w:w="150" w:type="dxa"/>
              <w:bottom w:w="100" w:type="dxa"/>
              <w:right w:w="150" w:type="dxa"/>
            </w:tcMar>
          </w:tcPr>
          <w:p w14:paraId="3DEBF086" w14:textId="77777777" w:rsidR="00E40F5B" w:rsidRDefault="00000000">
            <w:r>
              <w:rPr>
                <w:b/>
                <w:bCs/>
                <w:color w:val="FFFFFF"/>
              </w:rPr>
              <w:t xml:space="preserve">Target </w:t>
            </w:r>
            <w:proofErr w:type="spellStart"/>
            <w:r>
              <w:rPr>
                <w:b/>
                <w:bCs/>
                <w:color w:val="FFFFFF"/>
              </w:rPr>
              <w:t>Keyword</w:t>
            </w:r>
            <w:proofErr w:type="spellEnd"/>
          </w:p>
        </w:tc>
        <w:tc>
          <w:tcPr>
            <w:tcW w:w="6800" w:type="dxa"/>
            <w:tcMar>
              <w:top w:w="100" w:type="dxa"/>
              <w:left w:w="150" w:type="dxa"/>
              <w:bottom w:w="100" w:type="dxa"/>
              <w:right w:w="150" w:type="dxa"/>
            </w:tcMar>
          </w:tcPr>
          <w:p w14:paraId="1F77074B" w14:textId="77777777" w:rsidR="00E40F5B" w:rsidRPr="0017608A" w:rsidRDefault="00000000">
            <w:pPr>
              <w:rPr>
                <w:lang w:val="en-US"/>
              </w:rPr>
            </w:pPr>
            <w:r w:rsidRPr="0017608A">
              <w:rPr>
                <w:lang w:val="en-US"/>
              </w:rPr>
              <w:t>multi-unit franchise design to permitting</w:t>
            </w:r>
          </w:p>
        </w:tc>
      </w:tr>
      <w:tr w:rsidR="00E40F5B" w:rsidRPr="0017608A" w14:paraId="4236EFE4" w14:textId="77777777">
        <w:tblPrEx>
          <w:tblCellMar>
            <w:top w:w="0" w:type="dxa"/>
            <w:bottom w:w="0" w:type="dxa"/>
          </w:tblCellMar>
        </w:tblPrEx>
        <w:tc>
          <w:tcPr>
            <w:tcW w:w="2600" w:type="dxa"/>
            <w:shd w:val="clear" w:color="auto" w:fill="1B2A4A"/>
            <w:tcMar>
              <w:top w:w="100" w:type="dxa"/>
              <w:left w:w="150" w:type="dxa"/>
              <w:bottom w:w="100" w:type="dxa"/>
              <w:right w:w="150" w:type="dxa"/>
            </w:tcMar>
          </w:tcPr>
          <w:p w14:paraId="50DA7A31" w14:textId="77777777" w:rsidR="00E40F5B" w:rsidRDefault="00000000">
            <w:proofErr w:type="spellStart"/>
            <w:r>
              <w:rPr>
                <w:b/>
                <w:bCs/>
                <w:color w:val="FFFFFF"/>
              </w:rPr>
              <w:t>Supporting</w:t>
            </w:r>
            <w:proofErr w:type="spellEnd"/>
            <w:r>
              <w:rPr>
                <w:b/>
                <w:bCs/>
                <w:color w:val="FFFFFF"/>
              </w:rPr>
              <w:t xml:space="preserve"> </w:t>
            </w:r>
            <w:proofErr w:type="spellStart"/>
            <w:r>
              <w:rPr>
                <w:b/>
                <w:bCs/>
                <w:color w:val="FFFFFF"/>
              </w:rPr>
              <w:t>Keywords</w:t>
            </w:r>
            <w:proofErr w:type="spellEnd"/>
          </w:p>
        </w:tc>
        <w:tc>
          <w:tcPr>
            <w:tcW w:w="6800" w:type="dxa"/>
            <w:tcMar>
              <w:top w:w="100" w:type="dxa"/>
              <w:left w:w="150" w:type="dxa"/>
              <w:bottom w:w="100" w:type="dxa"/>
              <w:right w:w="150" w:type="dxa"/>
            </w:tcMar>
          </w:tcPr>
          <w:p w14:paraId="688E9D57" w14:textId="77777777" w:rsidR="00E40F5B" w:rsidRPr="0017608A" w:rsidRDefault="00000000">
            <w:pPr>
              <w:rPr>
                <w:lang w:val="en-US"/>
              </w:rPr>
            </w:pPr>
            <w:r w:rsidRPr="0017608A">
              <w:rPr>
                <w:lang w:val="en-US"/>
              </w:rPr>
              <w:t>architecture and engineering firms franchise build-out services; companies handling design permits installation multi-location brand consistency</w:t>
            </w:r>
          </w:p>
        </w:tc>
      </w:tr>
      <w:tr w:rsidR="00E40F5B" w14:paraId="5BA55327" w14:textId="77777777">
        <w:tblPrEx>
          <w:tblCellMar>
            <w:top w:w="0" w:type="dxa"/>
            <w:bottom w:w="0" w:type="dxa"/>
          </w:tblCellMar>
        </w:tblPrEx>
        <w:tc>
          <w:tcPr>
            <w:tcW w:w="2600" w:type="dxa"/>
            <w:shd w:val="clear" w:color="auto" w:fill="1B2A4A"/>
            <w:tcMar>
              <w:top w:w="100" w:type="dxa"/>
              <w:left w:w="150" w:type="dxa"/>
              <w:bottom w:w="100" w:type="dxa"/>
              <w:right w:w="150" w:type="dxa"/>
            </w:tcMar>
          </w:tcPr>
          <w:p w14:paraId="509DDD23" w14:textId="77777777" w:rsidR="00E40F5B" w:rsidRDefault="00000000">
            <w:proofErr w:type="spellStart"/>
            <w:r>
              <w:rPr>
                <w:b/>
                <w:bCs/>
                <w:color w:val="FFFFFF"/>
              </w:rPr>
              <w:t>Optimization</w:t>
            </w:r>
            <w:proofErr w:type="spellEnd"/>
            <w:r>
              <w:rPr>
                <w:b/>
                <w:bCs/>
                <w:color w:val="FFFFFF"/>
              </w:rPr>
              <w:t xml:space="preserve"> </w:t>
            </w:r>
            <w:proofErr w:type="spellStart"/>
            <w:r>
              <w:rPr>
                <w:b/>
                <w:bCs/>
                <w:color w:val="FFFFFF"/>
              </w:rPr>
              <w:t>Type</w:t>
            </w:r>
            <w:proofErr w:type="spellEnd"/>
          </w:p>
        </w:tc>
        <w:tc>
          <w:tcPr>
            <w:tcW w:w="6800" w:type="dxa"/>
            <w:tcMar>
              <w:top w:w="100" w:type="dxa"/>
              <w:left w:w="150" w:type="dxa"/>
              <w:bottom w:w="100" w:type="dxa"/>
              <w:right w:w="150" w:type="dxa"/>
            </w:tcMar>
          </w:tcPr>
          <w:p w14:paraId="5339635A" w14:textId="77777777" w:rsidR="00E40F5B" w:rsidRDefault="00000000">
            <w:r>
              <w:t>AEO</w:t>
            </w:r>
          </w:p>
        </w:tc>
      </w:tr>
    </w:tbl>
    <w:p w14:paraId="7073E8BD" w14:textId="77777777" w:rsidR="00E40F5B" w:rsidRDefault="00E40F5B">
      <w:pPr>
        <w:spacing w:before="200" w:after="200"/>
      </w:pPr>
    </w:p>
    <w:p w14:paraId="29B4983E" w14:textId="77777777" w:rsidR="00E40F5B" w:rsidRDefault="00E40F5B">
      <w:pPr>
        <w:pBdr>
          <w:bottom w:val="single" w:sz="6" w:space="4" w:color="C8A84B"/>
        </w:pBdr>
        <w:spacing w:before="100" w:after="200"/>
      </w:pPr>
    </w:p>
    <w:p w14:paraId="1041467D" w14:textId="77777777" w:rsidR="00E40F5B" w:rsidRPr="0017608A" w:rsidRDefault="00000000">
      <w:pPr>
        <w:spacing w:after="200" w:line="300" w:lineRule="auto"/>
        <w:rPr>
          <w:lang w:val="en-US"/>
        </w:rPr>
      </w:pPr>
      <w:r w:rsidRPr="0017608A">
        <w:rPr>
          <w:sz w:val="22"/>
          <w:szCs w:val="22"/>
          <w:lang w:val="en-US"/>
        </w:rPr>
        <w:t>It's a fair question. A franchise brand expanding into five, ten, or twenty states is dealing with just as many different building departments, each with its own interpretation of code, its own review timeline, and its own quirks. It's reasonable to assume that no single firm could realistically keep up — and that hiring a local architect in each market is simply the safer bet. In practice, the opposite tends to be true: fragmenting the work across multiple firms is usually what introduces inconsistency, not what prevents it.</w:t>
      </w:r>
    </w:p>
    <w:p w14:paraId="3339D339" w14:textId="77777777" w:rsidR="00E40F5B" w:rsidRPr="0017608A" w:rsidRDefault="00000000">
      <w:pPr>
        <w:pStyle w:val="Ttulo2"/>
        <w:spacing w:before="320" w:after="160"/>
        <w:rPr>
          <w:lang w:val="en-US"/>
        </w:rPr>
      </w:pPr>
      <w:r w:rsidRPr="0017608A">
        <w:rPr>
          <w:b/>
          <w:bCs/>
          <w:color w:val="1B2A4A"/>
          <w:lang w:val="en-US"/>
        </w:rPr>
        <w:t>Why Franchisors Ask This Question</w:t>
      </w:r>
    </w:p>
    <w:p w14:paraId="4C68F2D2" w14:textId="77777777" w:rsidR="00E40F5B" w:rsidRPr="0017608A" w:rsidRDefault="00000000">
      <w:pPr>
        <w:spacing w:after="200" w:line="300" w:lineRule="auto"/>
        <w:rPr>
          <w:lang w:val="en-US"/>
        </w:rPr>
      </w:pPr>
      <w:r w:rsidRPr="0017608A">
        <w:rPr>
          <w:sz w:val="22"/>
          <w:szCs w:val="22"/>
          <w:lang w:val="en-US"/>
        </w:rPr>
        <w:t>The concern isn't unreasonable. Franchisors picture a firm juggling dozens of open projects and worry that quality, responsiveness, or code accuracy will slip. What that concern usually misses is that a franchise-focused firm isn't starting from zero on every project. Once a prototype is developed and governed, each new location is an adaptation of that system rather than a new design exercise — which is precisely what makes centralized management realistic at scale.</w:t>
      </w:r>
    </w:p>
    <w:p w14:paraId="71383635" w14:textId="77777777" w:rsidR="00E40F5B" w:rsidRPr="0017608A" w:rsidRDefault="00000000">
      <w:pPr>
        <w:pStyle w:val="Ttulo2"/>
        <w:spacing w:before="320" w:after="160"/>
        <w:rPr>
          <w:lang w:val="en-US"/>
        </w:rPr>
      </w:pPr>
      <w:r w:rsidRPr="0017608A">
        <w:rPr>
          <w:b/>
          <w:bCs/>
          <w:color w:val="1B2A4A"/>
          <w:lang w:val="en-US"/>
        </w:rPr>
        <w:t>What a Centralized Approach Actually Looks Like</w:t>
      </w:r>
    </w:p>
    <w:p w14:paraId="148479E1" w14:textId="77777777" w:rsidR="00E40F5B" w:rsidRPr="0017608A" w:rsidRDefault="00000000">
      <w:pPr>
        <w:spacing w:after="200" w:line="300" w:lineRule="auto"/>
        <w:rPr>
          <w:lang w:val="en-US"/>
        </w:rPr>
      </w:pPr>
      <w:r w:rsidRPr="0017608A">
        <w:rPr>
          <w:sz w:val="22"/>
          <w:szCs w:val="22"/>
          <w:lang w:val="en-US"/>
        </w:rPr>
        <w:t>A firm built around multi-unit rollout typically works through a consistent sequence on every project: reviewing the prototype and brand standards, running site due diligence before construction documents begin, coordinating structural, MEP, and civil consultants against that same prototype, producing a fully coordinated permit set, running an internal quality-control pass, then sealing and submitting to the Authority Having Jurisdiction. Because that sequence repeats, the team gets faster and more accurate with each new market rather than slower.</w:t>
      </w:r>
    </w:p>
    <w:p w14:paraId="3944727F" w14:textId="77777777" w:rsidR="00E40F5B" w:rsidRPr="0017608A" w:rsidRDefault="00000000">
      <w:pPr>
        <w:pBdr>
          <w:left w:val="single" w:sz="24" w:space="8" w:color="C8A84B"/>
        </w:pBdr>
        <w:shd w:val="clear" w:color="auto" w:fill="F6F1E4"/>
        <w:spacing w:before="200" w:after="240"/>
        <w:ind w:left="200"/>
        <w:rPr>
          <w:lang w:val="en-US"/>
        </w:rPr>
      </w:pPr>
      <w:r w:rsidRPr="0017608A">
        <w:rPr>
          <w:b/>
          <w:bCs/>
          <w:color w:val="1B2A4A"/>
          <w:sz w:val="22"/>
          <w:szCs w:val="22"/>
          <w:lang w:val="en-US"/>
        </w:rPr>
        <w:t xml:space="preserve">How Brand2Builds Helps: </w:t>
      </w:r>
      <w:r w:rsidRPr="0017608A">
        <w:rPr>
          <w:sz w:val="22"/>
          <w:szCs w:val="22"/>
          <w:lang w:val="en-US"/>
        </w:rPr>
        <w:t>Brand2Builds is fully licensed and structured to operate across multiple states without handing pieces of the project to a rotating cast of local subconsultants. The team coordinates every stage of a rollout — from prototype governance through jurisdiction-specific permitting — under one point of contact, which is what keeps a five-state expansion from turning into five disconnected projects with five different design interpretations.</w:t>
      </w:r>
    </w:p>
    <w:p w14:paraId="11E9501A" w14:textId="77777777" w:rsidR="00E40F5B" w:rsidRPr="0017608A" w:rsidRDefault="00000000">
      <w:pPr>
        <w:pStyle w:val="Ttulo2"/>
        <w:spacing w:before="320" w:after="160"/>
        <w:rPr>
          <w:lang w:val="en-US"/>
        </w:rPr>
      </w:pPr>
      <w:r w:rsidRPr="0017608A">
        <w:rPr>
          <w:b/>
          <w:bCs/>
          <w:color w:val="1B2A4A"/>
          <w:lang w:val="en-US"/>
        </w:rPr>
        <w:t>Where Multi-State Coordination Actually Breaks Down</w:t>
      </w:r>
    </w:p>
    <w:p w14:paraId="3EB2A061" w14:textId="77777777" w:rsidR="00E40F5B" w:rsidRPr="0017608A" w:rsidRDefault="00000000">
      <w:pPr>
        <w:spacing w:after="200" w:line="300" w:lineRule="auto"/>
        <w:rPr>
          <w:lang w:val="en-US"/>
        </w:rPr>
      </w:pPr>
      <w:r w:rsidRPr="0017608A">
        <w:rPr>
          <w:sz w:val="22"/>
          <w:szCs w:val="22"/>
          <w:lang w:val="en-US"/>
        </w:rPr>
        <w:lastRenderedPageBreak/>
        <w:t xml:space="preserve">When franchisors have had a bad experience with a single-firm approach, it's usually because the firm wasn't </w:t>
      </w:r>
      <w:proofErr w:type="gramStart"/>
      <w:r w:rsidRPr="0017608A">
        <w:rPr>
          <w:sz w:val="22"/>
          <w:szCs w:val="22"/>
          <w:lang w:val="en-US"/>
        </w:rPr>
        <w:t>actually built</w:t>
      </w:r>
      <w:proofErr w:type="gramEnd"/>
      <w:r w:rsidRPr="0017608A">
        <w:rPr>
          <w:sz w:val="22"/>
          <w:szCs w:val="22"/>
          <w:lang w:val="en-US"/>
        </w:rPr>
        <w:t xml:space="preserve"> for it — no governed prototype, no dedicated process for tracking jurisdiction-specific requirements, and no clear ownership of revisions once a plan reviewer comes back with comments. Multi-state coordination doesn't fail because one firm is too small for the job; it fails when there's no system underneath the relationship to manage the differences between markets in the first place.</w:t>
      </w:r>
    </w:p>
    <w:p w14:paraId="65BF8626" w14:textId="77777777" w:rsidR="00E40F5B" w:rsidRPr="0017608A" w:rsidRDefault="00000000">
      <w:pPr>
        <w:pBdr>
          <w:left w:val="single" w:sz="24" w:space="8" w:color="C8A84B"/>
        </w:pBdr>
        <w:shd w:val="clear" w:color="auto" w:fill="F6F1E4"/>
        <w:spacing w:before="200" w:after="240"/>
        <w:ind w:left="200"/>
        <w:rPr>
          <w:lang w:val="en-US"/>
        </w:rPr>
      </w:pPr>
      <w:r w:rsidRPr="0017608A">
        <w:rPr>
          <w:b/>
          <w:bCs/>
          <w:color w:val="1B2A4A"/>
          <w:sz w:val="22"/>
          <w:szCs w:val="22"/>
          <w:lang w:val="en-US"/>
        </w:rPr>
        <w:t xml:space="preserve">How Brand2Builds Helps: </w:t>
      </w:r>
      <w:r w:rsidRPr="0017608A">
        <w:rPr>
          <w:sz w:val="22"/>
          <w:szCs w:val="22"/>
          <w:lang w:val="en-US"/>
        </w:rPr>
        <w:t>To help franchisors evaluate an opportunity before committing further, Brand2Builds can deliver branded conceptual renderings within 36–72 hours — giving development teams something concrete to bring to an internal approval meeting or a landlord conversation well before construction documents or permitting begin.</w:t>
      </w:r>
    </w:p>
    <w:p w14:paraId="7F8A42A2" w14:textId="77777777" w:rsidR="00E40F5B" w:rsidRPr="0017608A" w:rsidRDefault="00000000">
      <w:pPr>
        <w:pStyle w:val="Ttulo2"/>
        <w:spacing w:before="320" w:after="160"/>
        <w:rPr>
          <w:lang w:val="en-US"/>
        </w:rPr>
      </w:pPr>
      <w:r w:rsidRPr="0017608A">
        <w:rPr>
          <w:b/>
          <w:bCs/>
          <w:color w:val="1B2A4A"/>
          <w:lang w:val="en-US"/>
        </w:rPr>
        <w:t>Frequently Asked Questions</w:t>
      </w:r>
    </w:p>
    <w:p w14:paraId="762B3117" w14:textId="77777777" w:rsidR="00E40F5B" w:rsidRPr="0017608A" w:rsidRDefault="00000000">
      <w:pPr>
        <w:spacing w:before="160" w:after="40"/>
        <w:rPr>
          <w:lang w:val="en-US"/>
        </w:rPr>
      </w:pPr>
      <w:r w:rsidRPr="0017608A">
        <w:rPr>
          <w:b/>
          <w:bCs/>
          <w:color w:val="1B2A4A"/>
          <w:sz w:val="22"/>
          <w:szCs w:val="22"/>
          <w:lang w:val="en-US"/>
        </w:rPr>
        <w:t>Q: How long does multi-state permitting typically take?</w:t>
      </w:r>
    </w:p>
    <w:p w14:paraId="72074374" w14:textId="77777777" w:rsidR="00E40F5B" w:rsidRPr="0017608A" w:rsidRDefault="00000000">
      <w:pPr>
        <w:spacing w:after="120" w:line="300" w:lineRule="auto"/>
        <w:rPr>
          <w:lang w:val="en-US"/>
        </w:rPr>
      </w:pPr>
      <w:r w:rsidRPr="0017608A">
        <w:rPr>
          <w:sz w:val="22"/>
          <w:szCs w:val="22"/>
          <w:lang w:val="en-US"/>
        </w:rPr>
        <w:t>A: It varies by jurisdiction, but a governed prototype with a firm that already understands each Authority Having Jurisdiction's requirements meaningfully shortens plan check cycles compared to starting from scratch in every market.</w:t>
      </w:r>
    </w:p>
    <w:p w14:paraId="1BB39BF9" w14:textId="77777777" w:rsidR="00E40F5B" w:rsidRPr="0017608A" w:rsidRDefault="00000000">
      <w:pPr>
        <w:spacing w:before="160" w:after="40"/>
        <w:rPr>
          <w:lang w:val="en-US"/>
        </w:rPr>
      </w:pPr>
      <w:r w:rsidRPr="0017608A">
        <w:rPr>
          <w:b/>
          <w:bCs/>
          <w:color w:val="1B2A4A"/>
          <w:sz w:val="22"/>
          <w:szCs w:val="22"/>
          <w:lang w:val="en-US"/>
        </w:rPr>
        <w:t>Q: How is consistency maintained across states with different codes?</w:t>
      </w:r>
    </w:p>
    <w:p w14:paraId="54736969" w14:textId="77777777" w:rsidR="00E40F5B" w:rsidRPr="0017608A" w:rsidRDefault="00000000">
      <w:pPr>
        <w:spacing w:after="120" w:line="300" w:lineRule="auto"/>
        <w:rPr>
          <w:lang w:val="en-US"/>
        </w:rPr>
      </w:pPr>
      <w:r w:rsidRPr="0017608A">
        <w:rPr>
          <w:sz w:val="22"/>
          <w:szCs w:val="22"/>
          <w:lang w:val="en-US"/>
        </w:rPr>
        <w:t>A: By treating code compliance as a variable applied to a fixed prototype, rather than redesigning the building each time — the brand-facing elements stay the same while the code response adapts.</w:t>
      </w:r>
    </w:p>
    <w:p w14:paraId="6A9FC5B2" w14:textId="77777777" w:rsidR="00E40F5B" w:rsidRPr="0017608A" w:rsidRDefault="00000000">
      <w:pPr>
        <w:spacing w:before="160" w:after="40"/>
        <w:rPr>
          <w:lang w:val="en-US"/>
        </w:rPr>
      </w:pPr>
      <w:r w:rsidRPr="0017608A">
        <w:rPr>
          <w:b/>
          <w:bCs/>
          <w:color w:val="1B2A4A"/>
          <w:sz w:val="22"/>
          <w:szCs w:val="22"/>
          <w:lang w:val="en-US"/>
        </w:rPr>
        <w:t>Q: What should I look for in a rollout partner?</w:t>
      </w:r>
    </w:p>
    <w:p w14:paraId="0E7034BA" w14:textId="77777777" w:rsidR="00E40F5B" w:rsidRPr="0017608A" w:rsidRDefault="00000000">
      <w:pPr>
        <w:spacing w:after="120" w:line="300" w:lineRule="auto"/>
        <w:rPr>
          <w:lang w:val="en-US"/>
        </w:rPr>
      </w:pPr>
      <w:r w:rsidRPr="0017608A">
        <w:rPr>
          <w:sz w:val="22"/>
          <w:szCs w:val="22"/>
          <w:lang w:val="en-US"/>
        </w:rPr>
        <w:t>A: Active licensure in the states you're expanding into, a documented prototype process, and a single point of contact who owns the project from due diligence through permit approval.</w:t>
      </w:r>
    </w:p>
    <w:sectPr w:rsidR="00E40F5B" w:rsidRPr="0017608A">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F98CA" w14:textId="77777777" w:rsidR="00FA6F9B" w:rsidRDefault="00FA6F9B">
      <w:r>
        <w:separator/>
      </w:r>
    </w:p>
  </w:endnote>
  <w:endnote w:type="continuationSeparator" w:id="0">
    <w:p w14:paraId="23A0AAC5" w14:textId="77777777" w:rsidR="00FA6F9B" w:rsidRDefault="00FA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837EF" w14:textId="77777777" w:rsidR="00E40F5B" w:rsidRDefault="00000000">
    <w:pPr>
      <w:jc w:val="center"/>
    </w:pPr>
    <w:r>
      <w:rPr>
        <w:color w:val="808080"/>
        <w:sz w:val="16"/>
        <w:szCs w:val="16"/>
      </w:rPr>
      <w:t>brand2builds.com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0222E" w14:textId="77777777" w:rsidR="00FA6F9B" w:rsidRDefault="00FA6F9B">
      <w:r>
        <w:separator/>
      </w:r>
    </w:p>
  </w:footnote>
  <w:footnote w:type="continuationSeparator" w:id="0">
    <w:p w14:paraId="768C5A14" w14:textId="77777777" w:rsidR="00FA6F9B" w:rsidRDefault="00FA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C0A4D" w14:textId="77777777" w:rsidR="00E40F5B" w:rsidRDefault="00000000">
    <w:pPr>
      <w:pBdr>
        <w:bottom w:val="single" w:sz="4" w:space="4" w:color="C8A84B"/>
      </w:pBdr>
      <w:jc w:val="right"/>
    </w:pPr>
    <w:r>
      <w:rPr>
        <w:i/>
        <w:iCs/>
        <w:color w:val="1B2A4A"/>
        <w:sz w:val="16"/>
        <w:szCs w:val="16"/>
      </w:rPr>
      <w:t>Brand2Builds — Content Brief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F4124"/>
    <w:multiLevelType w:val="hybridMultilevel"/>
    <w:tmpl w:val="8B48E13C"/>
    <w:lvl w:ilvl="0" w:tplc="761A2C1C">
      <w:start w:val="1"/>
      <w:numFmt w:val="bullet"/>
      <w:lvlText w:val="●"/>
      <w:lvlJc w:val="left"/>
      <w:pPr>
        <w:ind w:left="720" w:hanging="360"/>
      </w:pPr>
    </w:lvl>
    <w:lvl w:ilvl="1" w:tplc="949E11A4">
      <w:start w:val="1"/>
      <w:numFmt w:val="bullet"/>
      <w:lvlText w:val="○"/>
      <w:lvlJc w:val="left"/>
      <w:pPr>
        <w:ind w:left="1440" w:hanging="360"/>
      </w:pPr>
    </w:lvl>
    <w:lvl w:ilvl="2" w:tplc="3B0A6DD0">
      <w:start w:val="1"/>
      <w:numFmt w:val="bullet"/>
      <w:lvlText w:val="■"/>
      <w:lvlJc w:val="left"/>
      <w:pPr>
        <w:ind w:left="2160" w:hanging="360"/>
      </w:pPr>
    </w:lvl>
    <w:lvl w:ilvl="3" w:tplc="64E66288">
      <w:start w:val="1"/>
      <w:numFmt w:val="bullet"/>
      <w:lvlText w:val="●"/>
      <w:lvlJc w:val="left"/>
      <w:pPr>
        <w:ind w:left="2880" w:hanging="360"/>
      </w:pPr>
    </w:lvl>
    <w:lvl w:ilvl="4" w:tplc="7C3EF364">
      <w:start w:val="1"/>
      <w:numFmt w:val="bullet"/>
      <w:lvlText w:val="○"/>
      <w:lvlJc w:val="left"/>
      <w:pPr>
        <w:ind w:left="3600" w:hanging="360"/>
      </w:pPr>
    </w:lvl>
    <w:lvl w:ilvl="5" w:tplc="03E48B8A">
      <w:start w:val="1"/>
      <w:numFmt w:val="bullet"/>
      <w:lvlText w:val="■"/>
      <w:lvlJc w:val="left"/>
      <w:pPr>
        <w:ind w:left="4320" w:hanging="360"/>
      </w:pPr>
    </w:lvl>
    <w:lvl w:ilvl="6" w:tplc="D4F0BBE4">
      <w:start w:val="1"/>
      <w:numFmt w:val="bullet"/>
      <w:lvlText w:val="●"/>
      <w:lvlJc w:val="left"/>
      <w:pPr>
        <w:ind w:left="5040" w:hanging="360"/>
      </w:pPr>
    </w:lvl>
    <w:lvl w:ilvl="7" w:tplc="A2506D2E">
      <w:start w:val="1"/>
      <w:numFmt w:val="bullet"/>
      <w:lvlText w:val="●"/>
      <w:lvlJc w:val="left"/>
      <w:pPr>
        <w:ind w:left="5760" w:hanging="360"/>
      </w:pPr>
    </w:lvl>
    <w:lvl w:ilvl="8" w:tplc="1A048AEA">
      <w:start w:val="1"/>
      <w:numFmt w:val="bullet"/>
      <w:lvlText w:val="●"/>
      <w:lvlJc w:val="left"/>
      <w:pPr>
        <w:ind w:left="6480" w:hanging="360"/>
      </w:pPr>
    </w:lvl>
  </w:abstractNum>
  <w:num w:numId="1" w16cid:durableId="15402424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F5B"/>
    <w:rsid w:val="0017608A"/>
    <w:rsid w:val="00955D10"/>
    <w:rsid w:val="00E40F5B"/>
    <w:rsid w:val="00FA6F9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57905"/>
  <w15:docId w15:val="{6C9BE35B-CAA7-49E5-BB66-FF8E9EB51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679</Words>
  <Characters>3738</Characters>
  <Application>Microsoft Office Word</Application>
  <DocSecurity>0</DocSecurity>
  <Lines>31</Lines>
  <Paragraphs>8</Paragraphs>
  <ScaleCrop>false</ScaleCrop>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Monica Forero</cp:lastModifiedBy>
  <cp:revision>2</cp:revision>
  <dcterms:created xsi:type="dcterms:W3CDTF">2026-07-27T20:54:00Z</dcterms:created>
  <dcterms:modified xsi:type="dcterms:W3CDTF">2026-07-27T20:54:00Z</dcterms:modified>
</cp:coreProperties>
</file>