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rPr>
          <w:rFonts w:ascii="Arial" w:cs="Arial" w:eastAsia="Arial" w:hAnsi="Arial"/>
          <w:b/>
          <w:bCs/>
          <w:sz w:val="36"/>
          <w:szCs w:val="36"/>
        </w:rPr>
        <w:t xml:space="preserve">Why Franchise Buildouts Take Longer Than Expected
(And How to Avoid the Most Common Delays)</w:t>
      </w:r>
    </w:p>
    <w:p>
      <w:r>
        <w:t xml:space="preserve"/>
      </w:r>
    </w:p>
    <w:p>
      <w:pPr>
        <w:pStyle w:val="Heading2"/>
      </w:pPr>
      <w:r>
        <w:rPr>
          <w:rFonts w:ascii="Arial" w:cs="Arial" w:eastAsia="Arial" w:hAnsi="Arial"/>
          <w:b/>
          <w:bCs/>
          <w:sz w:val="28"/>
          <w:szCs w:val="28"/>
        </w:rPr>
        <w:t xml:space="preserve">Introduction</w:t>
      </w:r>
    </w:p>
    <w:p>
      <w:pPr>
        <w:spacing w:after="160"/>
      </w:pPr>
      <w:r>
        <w:rPr>
          <w:rFonts w:ascii="Arial" w:cs="Arial" w:eastAsia="Arial" w:hAnsi="Arial"/>
          <w:sz w:val="22"/>
          <w:szCs w:val="22"/>
        </w:rPr>
        <w:t xml:space="preserve">Franchise buildout delays are one of the most costly and frustrating challenges facing franchise owners and operators today. You've signed the lease, secured your territory, and have a location ready to go — then weeks turn into months, and your opening date keeps moving. The reality is that franchise construction delays are rarely random. They stem from a predictable set of causes, and with the right preparation, most of them can be avoided. Understanding why franchise buildouts take longer than expected is the first step toward protecting your timeline, your budget, and your brand's momentum.</w:t>
      </w:r>
    </w:p>
    <w:p>
      <w:r>
        <w:t xml:space="preserve"/>
      </w:r>
    </w:p>
    <w:p>
      <w:pPr>
        <w:pStyle w:val="Heading2"/>
      </w:pPr>
      <w:r>
        <w:rPr>
          <w:rFonts w:ascii="Arial" w:cs="Arial" w:eastAsia="Arial" w:hAnsi="Arial"/>
          <w:b/>
          <w:bCs/>
          <w:sz w:val="28"/>
          <w:szCs w:val="28"/>
        </w:rPr>
        <w:t xml:space="preserve">The Real Cost of a Delayed Opening</w:t>
      </w:r>
    </w:p>
    <w:p>
      <w:pPr>
        <w:spacing w:after="160"/>
      </w:pPr>
      <w:r>
        <w:rPr>
          <w:rFonts w:ascii="Arial" w:cs="Arial" w:eastAsia="Arial" w:hAnsi="Arial"/>
          <w:sz w:val="22"/>
          <w:szCs w:val="22"/>
        </w:rPr>
        <w:t xml:space="preserve">Every week a franchise location remains closed is a week of lost revenue, ongoing lease obligations, and mounting pre-opening costs. For multi-unit operators and franchisors managing rollouts across multiple markets, these delays compound quickly. Beyond the financial hit, opening delays create operational disruption — trained staff leave, vendor relationships go cold, and marketing launches fall flat. Understanding the root causes is the only way to get ahead of them.</w:t>
      </w:r>
    </w:p>
    <w:p>
      <w:r>
        <w:t xml:space="preserve"/>
      </w:r>
    </w:p>
    <w:p>
      <w:pPr>
        <w:pStyle w:val="Heading2"/>
      </w:pPr>
      <w:r>
        <w:rPr>
          <w:rFonts w:ascii="Arial" w:cs="Arial" w:eastAsia="Arial" w:hAnsi="Arial"/>
          <w:b/>
          <w:bCs/>
          <w:sz w:val="28"/>
          <w:szCs w:val="28"/>
        </w:rPr>
        <w:t xml:space="preserve">The Most Common Causes of Franchise Buildout Delays</w:t>
      </w:r>
    </w:p>
    <w:p>
      <w:r>
        <w:t xml:space="preserve"/>
      </w:r>
    </w:p>
    <w:p>
      <w:pPr>
        <w:pStyle w:val="Heading3"/>
      </w:pPr>
      <w:r>
        <w:rPr>
          <w:rFonts w:ascii="Arial" w:cs="Arial" w:eastAsia="Arial" w:hAnsi="Arial"/>
          <w:b/>
          <w:bCs/>
          <w:sz w:val="24"/>
          <w:szCs w:val="24"/>
        </w:rPr>
        <w:t xml:space="preserve">1. Permit Backlogs</w:t>
      </w:r>
    </w:p>
    <w:p>
      <w:pPr>
        <w:spacing w:after="160"/>
      </w:pPr>
      <w:r>
        <w:rPr>
          <w:rFonts w:ascii="Arial" w:cs="Arial" w:eastAsia="Arial" w:hAnsi="Arial"/>
          <w:sz w:val="22"/>
          <w:szCs w:val="22"/>
        </w:rPr>
        <w:t xml:space="preserve">Municipal permitting offices process hundreds — sometimes thousands — of submissions at any given time. In high-growth markets, the queue can stretch months beyond initial projections. Permit offices in Miami-Dade and Broward counties, for example, are well known among franchise developers for high submission volumes and extended review cycles. If your construction documents are not submitted early, or if your submission requires corrections, you can lose your place in line entirely.</w:t>
      </w:r>
    </w:p>
    <w:p>
      <w:pPr>
        <w:spacing w:after="160"/>
      </w:pPr>
      <w:r>
        <w:rPr>
          <w:rFonts w:ascii="Arial" w:cs="Arial" w:eastAsia="Arial" w:hAnsi="Arial"/>
          <w:sz w:val="22"/>
          <w:szCs w:val="22"/>
        </w:rPr>
        <w:t xml:space="preserve">What you can do: Submit permit-ready documents on the first attempt. Work with a design firm experienced in local AHJ (Authority Having Jurisdiction) requirements to reduce correction rounds.</w:t>
      </w:r>
    </w:p>
    <w:p>
      <w:r>
        <w:t xml:space="preserve"/>
      </w:r>
    </w:p>
    <w:p>
      <w:pPr>
        <w:pStyle w:val="Heading3"/>
      </w:pPr>
      <w:r>
        <w:rPr>
          <w:rFonts w:ascii="Arial" w:cs="Arial" w:eastAsia="Arial" w:hAnsi="Arial"/>
          <w:b/>
          <w:bCs/>
          <w:sz w:val="24"/>
          <w:szCs w:val="24"/>
        </w:rPr>
        <w:t xml:space="preserve">2. Incomplete or Non-Compliant Design Documents</w:t>
      </w:r>
    </w:p>
    <w:p>
      <w:pPr>
        <w:spacing w:after="160"/>
      </w:pPr>
      <w:r>
        <w:rPr>
          <w:rFonts w:ascii="Arial" w:cs="Arial" w:eastAsia="Arial" w:hAnsi="Arial"/>
          <w:sz w:val="22"/>
          <w:szCs w:val="22"/>
        </w:rPr>
        <w:t xml:space="preserve">One of the most preventable causes of franchise buildout delays is submitting design documents that are incomplete, inconsistent, or non-compliant with local code requirements. A single missing detail — an undefined structural element, a missing accessibility note, an unclear mechanical layout — is enough to trigger a correction cycle that can set a project back two to four weeks or longer.</w:t>
      </w:r>
    </w:p>
    <w:p>
      <w:pPr>
        <w:spacing w:after="160"/>
      </w:pPr>
      <w:r>
        <w:rPr>
          <w:rFonts w:ascii="Arial" w:cs="Arial" w:eastAsia="Arial" w:hAnsi="Arial"/>
          <w:sz w:val="22"/>
          <w:szCs w:val="22"/>
        </w:rPr>
        <w:t xml:space="preserve">What you can do: Ensure your design firm conducts a pre-submission review against local code and AHJ requirements before any permit package is filed.</w:t>
      </w:r>
    </w:p>
    <w:p>
      <w:r>
        <w:t xml:space="preserve"/>
      </w:r>
    </w:p>
    <w:p>
      <w:pPr>
        <w:pStyle w:val="Heading3"/>
      </w:pPr>
      <w:r>
        <w:rPr>
          <w:rFonts w:ascii="Arial" w:cs="Arial" w:eastAsia="Arial" w:hAnsi="Arial"/>
          <w:b/>
          <w:bCs/>
          <w:sz w:val="24"/>
          <w:szCs w:val="24"/>
        </w:rPr>
        <w:t xml:space="preserve">3. Contractor Scheduling Conflicts</w:t>
      </w:r>
    </w:p>
    <w:p>
      <w:pPr>
        <w:spacing w:after="160"/>
      </w:pPr>
      <w:r>
        <w:rPr>
          <w:rFonts w:ascii="Arial" w:cs="Arial" w:eastAsia="Arial" w:hAnsi="Arial"/>
          <w:sz w:val="22"/>
          <w:szCs w:val="22"/>
        </w:rPr>
        <w:t xml:space="preserve">Even when permits are secured on schedule, projects stall when qualified contractors are unavailable. In competitive construction markets, general contractors and specialty subcontractors — electricians, plumbers, HVAC installers — are often booked weeks or months in advance. Assuming contractor availability without confirming it leads to costly schedule gaps.</w:t>
      </w:r>
    </w:p>
    <w:p>
      <w:pPr>
        <w:spacing w:after="160"/>
      </w:pPr>
      <w:r>
        <w:rPr>
          <w:rFonts w:ascii="Arial" w:cs="Arial" w:eastAsia="Arial" w:hAnsi="Arial"/>
          <w:sz w:val="22"/>
          <w:szCs w:val="22"/>
        </w:rPr>
        <w:t xml:space="preserve">What you can do: Engage your GC early and confirm subcontractor availability before finalizing your permit submission timeline.</w:t>
      </w:r>
    </w:p>
    <w:p>
      <w:r>
        <w:t xml:space="preserve"/>
      </w:r>
    </w:p>
    <w:p>
      <w:pPr>
        <w:pStyle w:val="Heading3"/>
      </w:pPr>
      <w:r>
        <w:rPr>
          <w:rFonts w:ascii="Arial" w:cs="Arial" w:eastAsia="Arial" w:hAnsi="Arial"/>
          <w:b/>
          <w:bCs/>
          <w:sz w:val="24"/>
          <w:szCs w:val="24"/>
        </w:rPr>
        <w:t xml:space="preserve">4. Material Lead Times</w:t>
      </w:r>
    </w:p>
    <w:p>
      <w:pPr>
        <w:spacing w:after="160"/>
      </w:pPr>
      <w:r>
        <w:rPr>
          <w:rFonts w:ascii="Arial" w:cs="Arial" w:eastAsia="Arial" w:hAnsi="Arial"/>
          <w:sz w:val="22"/>
          <w:szCs w:val="22"/>
        </w:rPr>
        <w:t xml:space="preserve">Supply chain variability continues to affect commercial construction. Custom fixtures, specialty equipment, branded millwork, and even standard materials like electrical panels and HVAC units can carry lead times of 8 to 16 weeks or longer depending on current market conditions. Ordering late — or not ordering until permits are in hand — pushes opening dates back by months.</w:t>
      </w:r>
    </w:p>
    <w:p>
      <w:pPr>
        <w:spacing w:after="160"/>
      </w:pPr>
      <w:r>
        <w:rPr>
          <w:rFonts w:ascii="Arial" w:cs="Arial" w:eastAsia="Arial" w:hAnsi="Arial"/>
          <w:sz w:val="22"/>
          <w:szCs w:val="22"/>
        </w:rPr>
        <w:t xml:space="preserve">What you can do: Issue procurement orders for long-lead items as early as possible, ideally concurrent with or prior to permit submission. Work with a project manager who tracks lead times proactively.</w:t>
      </w:r>
    </w:p>
    <w:p>
      <w:r>
        <w:t xml:space="preserve"/>
      </w:r>
    </w:p>
    <w:p>
      <w:pPr>
        <w:pStyle w:val="Heading3"/>
      </w:pPr>
      <w:r>
        <w:rPr>
          <w:rFonts w:ascii="Arial" w:cs="Arial" w:eastAsia="Arial" w:hAnsi="Arial"/>
          <w:b/>
          <w:bCs/>
          <w:sz w:val="24"/>
          <w:szCs w:val="24"/>
        </w:rPr>
        <w:t xml:space="preserve">5. AHJ Correction Letters</w:t>
      </w:r>
    </w:p>
    <w:p>
      <w:pPr>
        <w:spacing w:after="160"/>
      </w:pPr>
      <w:r>
        <w:rPr>
          <w:rFonts w:ascii="Arial" w:cs="Arial" w:eastAsia="Arial" w:hAnsi="Arial"/>
          <w:sz w:val="22"/>
          <w:szCs w:val="22"/>
        </w:rPr>
        <w:t xml:space="preserve">When a permitting authority reviews your submission and finds code deficiencies or unclear documentation, they issue a correction letter requiring resubmission. Each correction cycle adds time — typically two to six weeks — depending on the jurisdiction's review queue. Multiple correction rounds are not uncommon when projects are submitted by teams unfamiliar with local requirements.</w:t>
      </w:r>
    </w:p>
    <w:p>
      <w:pPr>
        <w:spacing w:after="160"/>
      </w:pPr>
      <w:r>
        <w:rPr>
          <w:rFonts w:ascii="Arial" w:cs="Arial" w:eastAsia="Arial" w:hAnsi="Arial"/>
          <w:sz w:val="22"/>
          <w:szCs w:val="22"/>
        </w:rPr>
        <w:t xml:space="preserve">What you can do: Partner with a design team that has established relationships with local AHJs and a track record of first-submission approvals.</w:t>
      </w:r>
    </w:p>
    <w:p>
      <w:r>
        <w:t xml:space="preserve"/>
      </w:r>
    </w:p>
    <w:p>
      <w:pPr>
        <w:pStyle w:val="Heading3"/>
      </w:pPr>
      <w:r>
        <w:rPr>
          <w:rFonts w:ascii="Arial" w:cs="Arial" w:eastAsia="Arial" w:hAnsi="Arial"/>
          <w:b/>
          <w:bCs/>
          <w:sz w:val="24"/>
          <w:szCs w:val="24"/>
        </w:rPr>
        <w:t xml:space="preserve">6. Landlord Delivery Delays</w:t>
      </w:r>
    </w:p>
    <w:p>
      <w:pPr>
        <w:spacing w:after="160"/>
      </w:pPr>
      <w:r>
        <w:rPr>
          <w:rFonts w:ascii="Arial" w:cs="Arial" w:eastAsia="Arial" w:hAnsi="Arial"/>
          <w:sz w:val="22"/>
          <w:szCs w:val="22"/>
        </w:rPr>
        <w:t xml:space="preserve">In many franchise agreements, the landlord is responsible for delivering the base building in a tenant-ready condition before buildout begins. Shell delivery delays — often caused by landlord construction issues, prior tenant holdovers, or landlord permit problems — push your entire schedule to the right without any action on your part.</w:t>
      </w:r>
    </w:p>
    <w:p>
      <w:pPr>
        <w:spacing w:after="160"/>
      </w:pPr>
      <w:r>
        <w:rPr>
          <w:rFonts w:ascii="Arial" w:cs="Arial" w:eastAsia="Arial" w:hAnsi="Arial"/>
          <w:sz w:val="22"/>
          <w:szCs w:val="22"/>
        </w:rPr>
        <w:t xml:space="preserve">What you can do: Negotiate clear delivery milestones and landlord obligations in your lease. Include contingency language that adjusts your rent commencement date if delivery is delayed.</w:t>
      </w:r>
    </w:p>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1B4F72" w:sz="6"/>
              <w:left w:val="single" w:color="1B4F72" w:sz="6"/>
              <w:bottom w:val="single" w:color="1B4F72" w:sz="6"/>
              <w:right w:val="single" w:color="1B4F72" w:sz="6"/>
            </w:tcBorders>
            <w:shd w:fill="EBF5FB" w:val="clear"/>
            <w:tcMar>
              <w:top w:type="dxa" w:w="160"/>
              <w:left w:type="dxa" w:w="200"/>
              <w:bottom w:type="dxa" w:w="160"/>
              <w:right w:type="dxa" w:w="200"/>
            </w:tcMar>
          </w:tcPr>
          <w:p>
            <w:r>
              <w:rPr>
                <w:rFonts w:ascii="Arial" w:cs="Arial" w:eastAsia="Arial" w:hAnsi="Arial"/>
                <w:b/>
                <w:bCs/>
                <w:color w:val="1B4F72"/>
                <w:sz w:val="22"/>
                <w:szCs w:val="22"/>
              </w:rPr>
              <w:t xml:space="preserve">Brand2Builds</w:t>
            </w:r>
          </w:p>
          <w:p>
            <w:pPr>
              <w:spacing w:after="0"/>
            </w:pPr>
            <w:r>
              <w:rPr>
                <w:rFonts w:ascii="Arial" w:cs="Arial" w:eastAsia="Arial" w:hAnsi="Arial"/>
                <w:i/>
                <w:iCs/>
                <w:sz w:val="22"/>
                <w:szCs w:val="22"/>
              </w:rPr>
              <w:t xml:space="preserve">Brand2Builds builds delay prevention into our process from day one — permit-ready documentation, proactive AHJ communication, and rollout scheduling that accounts for realistic lead times in each jurisdiction.</w:t>
            </w:r>
          </w:p>
        </w:tc>
      </w:tr>
    </w:tbl>
    <w:p>
      <w:r>
        <w:t xml:space="preserve"/>
      </w:r>
    </w:p>
    <w:p>
      <w:pPr>
        <w:pStyle w:val="Heading2"/>
      </w:pPr>
      <w:r>
        <w:rPr>
          <w:rFonts w:ascii="Arial" w:cs="Arial" w:eastAsia="Arial" w:hAnsi="Arial"/>
          <w:b/>
          <w:bCs/>
          <w:sz w:val="28"/>
          <w:szCs w:val="28"/>
        </w:rPr>
        <w:t xml:space="preserve">How to Build a Delay-Resistant Franchise Construction Timeline</w:t>
      </w:r>
    </w:p>
    <w:p>
      <w:pPr>
        <w:spacing w:after="160"/>
      </w:pPr>
      <w:r>
        <w:rPr>
          <w:rFonts w:ascii="Arial" w:cs="Arial" w:eastAsia="Arial" w:hAnsi="Arial"/>
          <w:sz w:val="22"/>
          <w:szCs w:val="22"/>
        </w:rPr>
        <w:t xml:space="preserve">The most effective approach is to treat delay prevention as a design and planning discipline, not a reactive problem. Here are the core practices that protect franchise opening timelines:</w:t>
      </w:r>
    </w:p>
    <w:p>
      <w:pPr>
        <w:pStyle w:val="ListParagraph"/>
        <w:numPr>
          <w:ilvl w:val="0"/>
          <w:numId w:val="2"/>
        </w:numPr>
        <w:spacing w:after="120"/>
      </w:pPr>
      <w:r>
        <w:rPr>
          <w:rFonts w:ascii="Arial" w:cs="Arial" w:eastAsia="Arial" w:hAnsi="Arial"/>
          <w:sz w:val="22"/>
          <w:szCs w:val="22"/>
        </w:rPr>
        <w:t xml:space="preserve">Start permit preparation during lease negotiation, not after signing</w:t>
      </w:r>
    </w:p>
    <w:p>
      <w:pPr>
        <w:pStyle w:val="ListParagraph"/>
        <w:numPr>
          <w:ilvl w:val="0"/>
          <w:numId w:val="2"/>
        </w:numPr>
        <w:spacing w:after="120"/>
      </w:pPr>
      <w:r>
        <w:rPr>
          <w:rFonts w:ascii="Arial" w:cs="Arial" w:eastAsia="Arial" w:hAnsi="Arial"/>
          <w:sz w:val="22"/>
          <w:szCs w:val="22"/>
        </w:rPr>
        <w:t xml:space="preserve">Use a franchise-experienced design firm with local permitting knowledge</w:t>
      </w:r>
    </w:p>
    <w:p>
      <w:pPr>
        <w:pStyle w:val="ListParagraph"/>
        <w:numPr>
          <w:ilvl w:val="0"/>
          <w:numId w:val="2"/>
        </w:numPr>
        <w:spacing w:after="120"/>
      </w:pPr>
      <w:r>
        <w:rPr>
          <w:rFonts w:ascii="Arial" w:cs="Arial" w:eastAsia="Arial" w:hAnsi="Arial"/>
          <w:sz w:val="22"/>
          <w:szCs w:val="22"/>
        </w:rPr>
        <w:t xml:space="preserve">Build material procurement into the pre-permit phase</w:t>
      </w:r>
    </w:p>
    <w:p>
      <w:pPr>
        <w:pStyle w:val="ListParagraph"/>
        <w:numPr>
          <w:ilvl w:val="0"/>
          <w:numId w:val="2"/>
        </w:numPr>
        <w:spacing w:after="120"/>
      </w:pPr>
      <w:r>
        <w:rPr>
          <w:rFonts w:ascii="Arial" w:cs="Arial" w:eastAsia="Arial" w:hAnsi="Arial"/>
          <w:sz w:val="22"/>
          <w:szCs w:val="22"/>
        </w:rPr>
        <w:t xml:space="preserve">Confirm contractor and subcontractor availability before locking your schedule</w:t>
      </w:r>
    </w:p>
    <w:p>
      <w:pPr>
        <w:pStyle w:val="ListParagraph"/>
        <w:numPr>
          <w:ilvl w:val="0"/>
          <w:numId w:val="2"/>
        </w:numPr>
        <w:spacing w:after="120"/>
      </w:pPr>
      <w:r>
        <w:rPr>
          <w:rFonts w:ascii="Arial" w:cs="Arial" w:eastAsia="Arial" w:hAnsi="Arial"/>
          <w:sz w:val="22"/>
          <w:szCs w:val="22"/>
        </w:rPr>
        <w:t xml:space="preserve">Track AHJ correction cycles and response times for each target market</w:t>
      </w:r>
    </w:p>
    <w:p>
      <w:pPr>
        <w:pStyle w:val="ListParagraph"/>
        <w:numPr>
          <w:ilvl w:val="0"/>
          <w:numId w:val="2"/>
        </w:numPr>
        <w:spacing w:after="120"/>
      </w:pPr>
      <w:r>
        <w:rPr>
          <w:rFonts w:ascii="Arial" w:cs="Arial" w:eastAsia="Arial" w:hAnsi="Arial"/>
          <w:sz w:val="22"/>
          <w:szCs w:val="22"/>
        </w:rPr>
        <w:t xml:space="preserve">Include schedule contingencies that reflect market-specific risk</w:t>
      </w:r>
    </w:p>
    <w:p>
      <w:r>
        <w:t xml:space="preserve"/>
      </w:r>
    </w:p>
    <w:p>
      <w:pPr>
        <w:pStyle w:val="Heading2"/>
      </w:pPr>
      <w:r>
        <w:rPr>
          <w:rFonts w:ascii="Arial" w:cs="Arial" w:eastAsia="Arial" w:hAnsi="Arial"/>
          <w:b/>
          <w:bCs/>
          <w:sz w:val="28"/>
          <w:szCs w:val="28"/>
        </w:rPr>
        <w:t xml:space="preserve">The Future of Franchise Buildout Planning</w:t>
      </w:r>
    </w:p>
    <w:p>
      <w:pPr>
        <w:spacing w:after="160"/>
      </w:pPr>
      <w:r>
        <w:rPr>
          <w:rFonts w:ascii="Arial" w:cs="Arial" w:eastAsia="Arial" w:hAnsi="Arial"/>
          <w:sz w:val="22"/>
          <w:szCs w:val="22"/>
        </w:rPr>
        <w:t xml:space="preserve">As franchise networks scale and opening velocity becomes a competitive advantage, the most forward-thinking operators are treating buildout timelines as a strategic asset. Firms that invest in permit-ready prototype documentation, pre-qualified contractor networks, and proactive jurisdiction research consistently open faster than operators who treat construction as a transactional process.</w:t>
      </w:r>
    </w:p>
    <w:p>
      <w:pPr>
        <w:spacing w:after="160"/>
      </w:pPr>
      <w:r>
        <w:rPr>
          <w:rFonts w:ascii="Arial" w:cs="Arial" w:eastAsia="Arial" w:hAnsi="Arial"/>
          <w:sz w:val="22"/>
          <w:szCs w:val="22"/>
        </w:rPr>
        <w:t xml:space="preserve">Technology is also beginning to reshape how delays are anticipated. Project management platforms that track permit submission status in real time, combined with design systems that generate jurisdiction-specific documentation automatically, are increasingly standard among high-growth franchise brands.</w:t>
      </w:r>
    </w:p>
    <w:p>
      <w:r>
        <w:t xml:space="preserve"/>
      </w:r>
    </w:p>
    <w:p>
      <w:pPr>
        <w:pStyle w:val="Heading2"/>
      </w:pPr>
      <w:r>
        <w:rPr>
          <w:rFonts w:ascii="Arial" w:cs="Arial" w:eastAsia="Arial" w:hAnsi="Arial"/>
          <w:b/>
          <w:bCs/>
          <w:sz w:val="28"/>
          <w:szCs w:val="28"/>
        </w:rPr>
        <w:t xml:space="preserve">Conclusion</w:t>
      </w:r>
    </w:p>
    <w:p>
      <w:pPr>
        <w:spacing w:after="160"/>
      </w:pPr>
      <w:r>
        <w:rPr>
          <w:rFonts w:ascii="Arial" w:cs="Arial" w:eastAsia="Arial" w:hAnsi="Arial"/>
          <w:sz w:val="22"/>
          <w:szCs w:val="22"/>
        </w:rPr>
        <w:t xml:space="preserve">Franchise buildout delays are predictable — and preventable. The causes are consistent across markets: permit backlogs, document deficiencies, contractor availability, material lead times, AHJ correction cycles, and landlord delivery. The franchise operators who open on time are the ones who plan around these realities instead of hoping to avoid them. A design and construction partner with deep franchise experience, proactive permitting processes, and a realistic approach to scheduling is one of the most valuable investments a growing franchise brand can make.</w:t>
      </w:r>
    </w:p>
    <w:p>
      <w:r>
        <w:t xml:space="preserve"/>
      </w:r>
    </w:p>
    <w:p>
      <w:pPr>
        <w:pBdr>
          <w:bottom w:val="single" w:color="2E75B6" w:sz="6" w:space="1"/>
        </w:pBdr>
      </w:pPr>
      <w:r>
        <w:t xml:space="preserve"/>
      </w:r>
    </w:p>
    <w:p>
      <w:r>
        <w:t xml:space="preserve"/>
      </w:r>
    </w:p>
    <w:p>
      <w:pPr>
        <w:pStyle w:val="Heading2"/>
      </w:pPr>
      <w:r>
        <w:rPr>
          <w:rFonts w:ascii="Arial" w:cs="Arial" w:eastAsia="Arial" w:hAnsi="Arial"/>
          <w:b/>
          <w:bCs/>
          <w:sz w:val="28"/>
          <w:szCs w:val="28"/>
        </w:rPr>
        <w:t xml:space="preserve">SEO + Content Metadata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7160"/>
      </w:tblGrid>
      <w:tr>
        <w:tc>
          <w:tcPr>
            <w:tcW w:type="dxa" w:w="2200"/>
            <w:tcBorders>
              <w:top w:val="single" w:color="CCCCCC" w:sz="1"/>
              <w:left w:val="single" w:color="CCCCCC" w:sz="1"/>
              <w:bottom w:val="single" w:color="CCCCCC" w:sz="1"/>
              <w:right w:val="single" w:color="CCCCCC" w:sz="1"/>
            </w:tcBorders>
            <w:shd w:fill="D5E8F0" w:val="clear"/>
            <w:tcMar>
              <w:top w:type="dxa" w:w="80"/>
              <w:left w:type="dxa" w:w="120"/>
              <w:bottom w:type="dxa" w:w="80"/>
              <w:right w:type="dxa" w:w="120"/>
            </w:tcMar>
          </w:tcPr>
          <w:p>
            <w:r>
              <w:rPr>
                <w:rFonts w:ascii="Arial" w:cs="Arial" w:eastAsia="Arial" w:hAnsi="Arial"/>
                <w:b/>
                <w:bCs/>
                <w:sz w:val="20"/>
                <w:szCs w:val="20"/>
              </w:rPr>
              <w:t xml:space="preserve">Meta Title</w:t>
            </w:r>
          </w:p>
        </w:tc>
        <w:tc>
          <w:tcPr>
            <w:tcW w:type="dxa" w:w="7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Why Franchise Buildouts Take Longer &amp; How to Avoid Delays</w:t>
            </w:r>
          </w:p>
        </w:tc>
      </w:tr>
      <w:tr>
        <w:tc>
          <w:tcPr>
            <w:tcW w:type="dxa" w:w="2200"/>
            <w:tcBorders>
              <w:top w:val="single" w:color="CCCCCC" w:sz="1"/>
              <w:left w:val="single" w:color="CCCCCC" w:sz="1"/>
              <w:bottom w:val="single" w:color="CCCCCC" w:sz="1"/>
              <w:right w:val="single" w:color="CCCCCC" w:sz="1"/>
            </w:tcBorders>
            <w:shd w:fill="D5E8F0" w:val="clear"/>
            <w:tcMar>
              <w:top w:type="dxa" w:w="80"/>
              <w:left w:type="dxa" w:w="120"/>
              <w:bottom w:type="dxa" w:w="80"/>
              <w:right w:type="dxa" w:w="120"/>
            </w:tcMar>
          </w:tcPr>
          <w:p>
            <w:r>
              <w:rPr>
                <w:rFonts w:ascii="Arial" w:cs="Arial" w:eastAsia="Arial" w:hAnsi="Arial"/>
                <w:b/>
                <w:bCs/>
                <w:sz w:val="20"/>
                <w:szCs w:val="20"/>
              </w:rPr>
              <w:t xml:space="preserve">Meta Description</w:t>
            </w:r>
          </w:p>
        </w:tc>
        <w:tc>
          <w:tcPr>
            <w:tcW w:type="dxa" w:w="7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Discover the 6 most common causes of franchise buildout delays — and actionable steps franchise owners can take to protect their opening timeline.</w:t>
            </w:r>
          </w:p>
        </w:tc>
      </w:tr>
      <w:tr>
        <w:tc>
          <w:tcPr>
            <w:tcW w:type="dxa" w:w="2200"/>
            <w:tcBorders>
              <w:top w:val="single" w:color="CCCCCC" w:sz="1"/>
              <w:left w:val="single" w:color="CCCCCC" w:sz="1"/>
              <w:bottom w:val="single" w:color="CCCCCC" w:sz="1"/>
              <w:right w:val="single" w:color="CCCCCC" w:sz="1"/>
            </w:tcBorders>
            <w:shd w:fill="D5E8F0" w:val="clear"/>
            <w:tcMar>
              <w:top w:type="dxa" w:w="80"/>
              <w:left w:type="dxa" w:w="120"/>
              <w:bottom w:type="dxa" w:w="80"/>
              <w:right w:type="dxa" w:w="120"/>
            </w:tcMar>
          </w:tcPr>
          <w:p>
            <w:r>
              <w:rPr>
                <w:rFonts w:ascii="Arial" w:cs="Arial" w:eastAsia="Arial" w:hAnsi="Arial"/>
                <w:b/>
                <w:bCs/>
                <w:sz w:val="20"/>
                <w:szCs w:val="20"/>
              </w:rPr>
              <w:t xml:space="preserve">URL Slug</w:t>
            </w:r>
          </w:p>
        </w:tc>
        <w:tc>
          <w:tcPr>
            <w:tcW w:type="dxa" w:w="7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/blog/why-franchise-buildouts-take-longer-than-expected</w:t>
            </w:r>
          </w:p>
        </w:tc>
      </w:tr>
      <w:tr>
        <w:tc>
          <w:tcPr>
            <w:tcW w:type="dxa" w:w="2200"/>
            <w:tcBorders>
              <w:top w:val="single" w:color="CCCCCC" w:sz="1"/>
              <w:left w:val="single" w:color="CCCCCC" w:sz="1"/>
              <w:bottom w:val="single" w:color="CCCCCC" w:sz="1"/>
              <w:right w:val="single" w:color="CCCCCC" w:sz="1"/>
            </w:tcBorders>
            <w:shd w:fill="D5E8F0" w:val="clear"/>
            <w:tcMar>
              <w:top w:type="dxa" w:w="80"/>
              <w:left w:type="dxa" w:w="120"/>
              <w:bottom w:type="dxa" w:w="80"/>
              <w:right w:type="dxa" w:w="120"/>
            </w:tcMar>
          </w:tcPr>
          <w:p>
            <w:r>
              <w:rPr>
                <w:rFonts w:ascii="Arial" w:cs="Arial" w:eastAsia="Arial" w:hAnsi="Arial"/>
                <w:b/>
                <w:bCs/>
                <w:sz w:val="20"/>
                <w:szCs w:val="20"/>
              </w:rPr>
              <w:t xml:space="preserve">Schema Type</w:t>
            </w:r>
          </w:p>
        </w:tc>
        <w:tc>
          <w:tcPr>
            <w:tcW w:type="dxa" w:w="7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Article / FAQPage</w:t>
            </w:r>
          </w:p>
        </w:tc>
      </w:tr>
      <w:tr>
        <w:tc>
          <w:tcPr>
            <w:tcW w:type="dxa" w:w="2200"/>
            <w:tcBorders>
              <w:top w:val="single" w:color="CCCCCC" w:sz="1"/>
              <w:left w:val="single" w:color="CCCCCC" w:sz="1"/>
              <w:bottom w:val="single" w:color="CCCCCC" w:sz="1"/>
              <w:right w:val="single" w:color="CCCCCC" w:sz="1"/>
            </w:tcBorders>
            <w:shd w:fill="D5E8F0" w:val="clear"/>
            <w:tcMar>
              <w:top w:type="dxa" w:w="80"/>
              <w:left w:type="dxa" w:w="120"/>
              <w:bottom w:type="dxa" w:w="80"/>
              <w:right w:type="dxa" w:w="120"/>
            </w:tcMar>
          </w:tcPr>
          <w:p>
            <w:r>
              <w:rPr>
                <w:rFonts w:ascii="Arial" w:cs="Arial" w:eastAsia="Arial" w:hAnsi="Arial"/>
                <w:b/>
                <w:bCs/>
                <w:sz w:val="20"/>
                <w:szCs w:val="20"/>
              </w:rPr>
              <w:t xml:space="preserve">Featured Snippet</w:t>
            </w:r>
          </w:p>
        </w:tc>
        <w:tc>
          <w:tcPr>
            <w:tcW w:type="dxa" w:w="7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Franchise buildouts are delayed most often by permit backlogs, incomplete design documents, contractor scheduling gaps, material lead times, AHJ correction letters, and landlord delivery issues. Each cause is preventable with proactive planning and experienced franchise construction partners.</w:t>
            </w:r>
          </w:p>
        </w:tc>
      </w:tr>
    </w:tbl>
    <w:p>
      <w:r>
        <w:t xml:space="preserve"/>
      </w:r>
    </w:p>
    <w:p>
      <w:pPr>
        <w:pStyle w:val="Heading3"/>
      </w:pPr>
      <w:r>
        <w:rPr>
          <w:rFonts w:ascii="Arial" w:cs="Arial" w:eastAsia="Arial" w:hAnsi="Arial"/>
          <w:b/>
          <w:bCs/>
          <w:sz w:val="24"/>
          <w:szCs w:val="24"/>
        </w:rPr>
        <w:t xml:space="preserve">Internal Link Opportunities</w:t>
      </w:r>
    </w:p>
    <w:p>
      <w:pPr>
        <w:pStyle w:val="ListParagraph"/>
        <w:numPr>
          <w:ilvl w:val="0"/>
          <w:numId w:val="2"/>
        </w:numPr>
        <w:spacing w:after="120"/>
      </w:pPr>
      <w:r>
        <w:rPr>
          <w:rFonts w:ascii="Arial" w:cs="Arial" w:eastAsia="Arial" w:hAnsi="Arial"/>
          <w:sz w:val="22"/>
          <w:szCs w:val="22"/>
        </w:rPr>
        <w:t xml:space="preserve">How to Choose a Design Firm for Franchise Expansion</w:t>
      </w:r>
    </w:p>
    <w:p>
      <w:pPr>
        <w:pStyle w:val="ListParagraph"/>
        <w:numPr>
          <w:ilvl w:val="0"/>
          <w:numId w:val="2"/>
        </w:numPr>
        <w:spacing w:after="120"/>
      </w:pPr>
      <w:r>
        <w:rPr>
          <w:rFonts w:ascii="Arial" w:cs="Arial" w:eastAsia="Arial" w:hAnsi="Arial"/>
          <w:sz w:val="22"/>
          <w:szCs w:val="22"/>
        </w:rPr>
        <w:t xml:space="preserve">Franchise Permits by State: Which Markets Move Fast</w:t>
      </w:r>
    </w:p>
    <w:p>
      <w:pPr>
        <w:pStyle w:val="ListParagraph"/>
        <w:numPr>
          <w:ilvl w:val="0"/>
          <w:numId w:val="2"/>
        </w:numPr>
        <w:spacing w:after="120"/>
      </w:pPr>
      <w:r>
        <w:rPr>
          <w:rFonts w:ascii="Arial" w:cs="Arial" w:eastAsia="Arial" w:hAnsi="Arial"/>
          <w:sz w:val="22"/>
          <w:szCs w:val="22"/>
        </w:rPr>
        <w:t xml:space="preserve">The Franchise Site Go/No-Go Decision</w:t>
      </w:r>
    </w:p>
    <w:p>
      <w:pPr>
        <w:pStyle w:val="ListParagraph"/>
        <w:numPr>
          <w:ilvl w:val="0"/>
          <w:numId w:val="2"/>
        </w:numPr>
        <w:spacing w:after="120"/>
      </w:pPr>
      <w:r>
        <w:rPr>
          <w:rFonts w:ascii="Arial" w:cs="Arial" w:eastAsia="Arial" w:hAnsi="Arial"/>
          <w:sz w:val="22"/>
          <w:szCs w:val="22"/>
        </w:rPr>
        <w:t xml:space="preserve">What Is a Franchise Prototype and Why Does It Matter?</w:t>
      </w:r>
    </w:p>
    <w:p>
      <w:pPr>
        <w:pStyle w:val="ListParagraph"/>
        <w:numPr>
          <w:ilvl w:val="0"/>
          <w:numId w:val="2"/>
        </w:numPr>
        <w:spacing w:after="120"/>
      </w:pPr>
      <w:r>
        <w:rPr>
          <w:rFonts w:ascii="Arial" w:cs="Arial" w:eastAsia="Arial" w:hAnsi="Arial"/>
          <w:sz w:val="22"/>
          <w:szCs w:val="22"/>
        </w:rPr>
        <w:t xml:space="preserve">Brand2Builds Multi-State Permitting Services</w:t>
      </w:r>
    </w:p>
    <w:p>
      <w:r>
        <w:t xml:space="preserve"/>
      </w:r>
    </w:p>
    <w:p>
      <w:pPr>
        <w:pStyle w:val="Heading3"/>
      </w:pPr>
      <w:r>
        <w:rPr>
          <w:rFonts w:ascii="Arial" w:cs="Arial" w:eastAsia="Arial" w:hAnsi="Arial"/>
          <w:b/>
          <w:bCs/>
          <w:sz w:val="24"/>
          <w:szCs w:val="24"/>
        </w:rPr>
        <w:t xml:space="preserve">CTA Variations</w:t>
      </w:r>
    </w:p>
    <w:p>
      <w:pPr>
        <w:pStyle w:val="ListParagraph"/>
        <w:numPr>
          <w:ilvl w:val="0"/>
          <w:numId w:val="3"/>
        </w:numPr>
        <w:spacing w:after="120"/>
      </w:pPr>
      <w:r>
        <w:rPr>
          <w:rFonts w:ascii="Arial" w:cs="Arial" w:eastAsia="Arial" w:hAnsi="Arial"/>
          <w:sz w:val="22"/>
          <w:szCs w:val="22"/>
        </w:rPr>
        <w:t xml:space="preserve">See how Brand2Builds structures permit-ready documentation for faster franchise openings.</w:t>
      </w:r>
    </w:p>
    <w:p>
      <w:pPr>
        <w:pStyle w:val="ListParagraph"/>
        <w:numPr>
          <w:ilvl w:val="0"/>
          <w:numId w:val="3"/>
        </w:numPr>
        <w:spacing w:after="120"/>
      </w:pPr>
      <w:r>
        <w:rPr>
          <w:rFonts w:ascii="Arial" w:cs="Arial" w:eastAsia="Arial" w:hAnsi="Arial"/>
          <w:sz w:val="22"/>
          <w:szCs w:val="22"/>
        </w:rPr>
        <w:t xml:space="preserve">Talk to a franchise construction specialist about your opening timeline.</w:t>
      </w:r>
    </w:p>
    <w:p>
      <w:pPr>
        <w:pStyle w:val="ListParagraph"/>
        <w:numPr>
          <w:ilvl w:val="0"/>
          <w:numId w:val="3"/>
        </w:numPr>
        <w:spacing w:after="120"/>
      </w:pPr>
      <w:r>
        <w:rPr>
          <w:rFonts w:ascii="Arial" w:cs="Arial" w:eastAsia="Arial" w:hAnsi="Arial"/>
          <w:sz w:val="22"/>
          <w:szCs w:val="22"/>
        </w:rPr>
        <w:t xml:space="preserve">Download our franchise buildout delay prevention checklist.</w:t>
      </w:r>
    </w:p>
    <w:p>
      <w:r>
        <w:t xml:space="preserve"/>
      </w:r>
    </w:p>
    <w:p>
      <w:pPr>
        <w:pStyle w:val="Heading3"/>
      </w:pPr>
      <w:r>
        <w:rPr>
          <w:rFonts w:ascii="Arial" w:cs="Arial" w:eastAsia="Arial" w:hAnsi="Arial"/>
          <w:b/>
          <w:bCs/>
          <w:sz w:val="24"/>
          <w:szCs w:val="24"/>
        </w:rPr>
        <w:t xml:space="preserve">FAQ Questions for SEO</w:t>
      </w:r>
    </w:p>
    <w:p>
      <w:pPr>
        <w:pStyle w:val="ListParagraph"/>
        <w:numPr>
          <w:ilvl w:val="0"/>
          <w:numId w:val="2"/>
        </w:numPr>
        <w:spacing w:after="120"/>
      </w:pPr>
      <w:r>
        <w:rPr>
          <w:rFonts w:ascii="Arial" w:cs="Arial" w:eastAsia="Arial" w:hAnsi="Arial"/>
          <w:sz w:val="22"/>
          <w:szCs w:val="22"/>
        </w:rPr>
        <w:t xml:space="preserve">Why does franchise construction take so long?</w:t>
      </w:r>
    </w:p>
    <w:p>
      <w:pPr>
        <w:pStyle w:val="ListParagraph"/>
        <w:numPr>
          <w:ilvl w:val="0"/>
          <w:numId w:val="2"/>
        </w:numPr>
        <w:spacing w:after="120"/>
      </w:pPr>
      <w:r>
        <w:rPr>
          <w:rFonts w:ascii="Arial" w:cs="Arial" w:eastAsia="Arial" w:hAnsi="Arial"/>
          <w:sz w:val="22"/>
          <w:szCs w:val="22"/>
        </w:rPr>
        <w:t xml:space="preserve">How can I avoid delays when building out a franchise location?</w:t>
      </w:r>
    </w:p>
    <w:p>
      <w:pPr>
        <w:pStyle w:val="ListParagraph"/>
        <w:numPr>
          <w:ilvl w:val="0"/>
          <w:numId w:val="2"/>
        </w:numPr>
        <w:spacing w:after="120"/>
      </w:pPr>
      <w:r>
        <w:rPr>
          <w:rFonts w:ascii="Arial" w:cs="Arial" w:eastAsia="Arial" w:hAnsi="Arial"/>
          <w:sz w:val="22"/>
          <w:szCs w:val="22"/>
        </w:rPr>
        <w:t xml:space="preserve">What is an AHJ correction letter and how does it affect my opening date?</w:t>
      </w:r>
    </w:p>
    <w:p>
      <w:r>
        <w:t xml:space="preserve"/>
      </w:r>
    </w:p>
    <w:p>
      <w:pPr>
        <w:pStyle w:val="Heading3"/>
      </w:pPr>
      <w:r>
        <w:rPr>
          <w:rFonts w:ascii="Arial" w:cs="Arial" w:eastAsia="Arial" w:hAnsi="Arial"/>
          <w:b/>
          <w:bCs/>
          <w:sz w:val="24"/>
          <w:szCs w:val="24"/>
        </w:rPr>
        <w:t xml:space="preserve">Suggested Image Ideas</w:t>
      </w:r>
    </w:p>
    <w:p>
      <w:pPr>
        <w:pStyle w:val="ListParagraph"/>
        <w:numPr>
          <w:ilvl w:val="0"/>
          <w:numId w:val="2"/>
        </w:numPr>
        <w:spacing w:after="120"/>
      </w:pPr>
      <w:r>
        <w:rPr>
          <w:rFonts w:ascii="Arial" w:cs="Arial" w:eastAsia="Arial" w:hAnsi="Arial"/>
          <w:sz w:val="22"/>
          <w:szCs w:val="22"/>
        </w:rPr>
        <w:t xml:space="preserve">Split graphic: empty construction site vs. completed franchise interior</w:t>
      </w:r>
    </w:p>
    <w:p>
      <w:pPr>
        <w:pStyle w:val="ListParagraph"/>
        <w:numPr>
          <w:ilvl w:val="0"/>
          <w:numId w:val="2"/>
        </w:numPr>
        <w:spacing w:after="120"/>
      </w:pPr>
      <w:r>
        <w:rPr>
          <w:rFonts w:ascii="Arial" w:cs="Arial" w:eastAsia="Arial" w:hAnsi="Arial"/>
          <w:sz w:val="22"/>
          <w:szCs w:val="22"/>
        </w:rPr>
        <w:t xml:space="preserve">Timeline infographic showing 6 delay causes and prevention actions</w:t>
      </w:r>
    </w:p>
    <w:p>
      <w:pPr>
        <w:pStyle w:val="ListParagraph"/>
        <w:numPr>
          <w:ilvl w:val="0"/>
          <w:numId w:val="2"/>
        </w:numPr>
        <w:spacing w:after="120"/>
      </w:pPr>
      <w:r>
        <w:rPr>
          <w:rFonts w:ascii="Arial" w:cs="Arial" w:eastAsia="Arial" w:hAnsi="Arial"/>
          <w:sz w:val="22"/>
          <w:szCs w:val="22"/>
        </w:rPr>
        <w:t xml:space="preserve">Permit review process flow diagram</w:t>
      </w:r>
    </w:p>
    <w:p>
      <w:r>
        <w:t xml:space="preserve"/>
      </w:r>
    </w:p>
    <w:p>
      <w:pPr>
        <w:pStyle w:val="Heading3"/>
      </w:pPr>
      <w:r>
        <w:rPr>
          <w:rFonts w:ascii="Arial" w:cs="Arial" w:eastAsia="Arial" w:hAnsi="Arial"/>
          <w:b/>
          <w:bCs/>
          <w:sz w:val="24"/>
          <w:szCs w:val="24"/>
        </w:rPr>
        <w:t xml:space="preserve">LinkedIn Post Version</w:t>
      </w:r>
    </w:p>
    <w:p>
      <w:pPr>
        <w:spacing w:after="160"/>
      </w:pPr>
      <w:r>
        <w:rPr>
          <w:rFonts w:ascii="Arial" w:cs="Arial" w:eastAsia="Arial" w:hAnsi="Arial"/>
          <w:i/>
          <w:iCs/>
          <w:sz w:val="22"/>
          <w:szCs w:val="22"/>
        </w:rPr>
        <w:t xml:space="preserve">Most franchise buildout delays come down to 6 predictable causes — and every one of them is preventable.
Permit backlogs. Incomplete design documents. Contractor scheduling gaps. Material lead times. AHJ correction cycles. Landlord delivery delays.
The operators who open on time plan around these realities from day one.
New article: Why Franchise Buildouts Take Longer Than Expected [link]
#FranchiseDevelopment #FranchiseConstruction #CommercialArchitecture #FranchiseGrowth</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360"/>
      <w:outlineLvl w:val="0"/>
    </w:pPr>
    <w:rPr>
      <w:rFonts w:ascii="Arial" w:cs="Arial" w:eastAsia="Arial" w:hAnsi="Arial"/>
      <w:b/>
      <w:bCs/>
      <w:color w:val="1B4F72"/>
      <w:sz w:val="36"/>
      <w:szCs w:val="36"/>
    </w:rPr>
  </w:style>
  <w:style w:type="paragraph" w:styleId="Heading2">
    <w:name w:val="Heading 2"/>
    <w:basedOn w:val="Normal"/>
    <w:next w:val="Normal"/>
    <w:qFormat/>
    <w:pPr>
      <w:spacing w:after="160" w:before="280"/>
      <w:outlineLvl w:val="1"/>
    </w:pPr>
    <w:rPr>
      <w:rFonts w:ascii="Arial" w:cs="Arial" w:eastAsia="Arial" w:hAnsi="Arial"/>
      <w:b/>
      <w:bCs/>
      <w:color w:val="2E75B6"/>
      <w:sz w:val="28"/>
      <w:szCs w:val="28"/>
    </w:rPr>
  </w:style>
  <w:style w:type="paragraph" w:styleId="Heading3">
    <w:name w:val="Heading 3"/>
    <w:basedOn w:val="Normal"/>
    <w:next w:val="Normal"/>
    <w:qFormat/>
    <w:pPr>
      <w:spacing w:after="120" w:before="200"/>
      <w:outlineLvl w:val="2"/>
    </w:pPr>
    <w:rPr>
      <w:rFonts w:ascii="Arial" w:cs="Arial" w:eastAsia="Arial" w:hAnsi="Arial"/>
      <w:b/>
      <w:bCs/>
      <w:color w:val="1A5276"/>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2026-05-19T14:40:05.773Z</dcterms:created>
  <dcterms:modified xsi:type="dcterms:W3CDTF">2026-05-19T14:40:05.774Z</dcterms:modified>
</cp:coreProperties>
</file>

<file path=docProps/custom.xml><?xml version="1.0" encoding="utf-8"?>
<Properties xmlns="http://schemas.openxmlformats.org/officeDocument/2006/custom-properties" xmlns:vt="http://schemas.openxmlformats.org/officeDocument/2006/docPropsVTypes"/>
</file>