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sz w:val="36"/>
          <w:szCs w:val="36"/>
        </w:rPr>
        <w:t xml:space="preserve">Franchise Permits by State: Which Markets Move Fast
and Which Will Delay Your Opening</w:t>
      </w:r>
    </w:p>
    <w:p>
      <w:r>
        <w:t xml:space="preserve"/>
      </w:r>
    </w:p>
    <w:p>
      <w:pPr>
        <w:pStyle w:val="Heading2"/>
      </w:pPr>
      <w:r>
        <w:rPr>
          <w:rFonts w:ascii="Arial" w:cs="Arial" w:eastAsia="Arial" w:hAnsi="Arial"/>
          <w:b/>
          <w:bCs/>
          <w:sz w:val="28"/>
          <w:szCs w:val="28"/>
        </w:rPr>
        <w:t xml:space="preserve">Introduction</w:t>
      </w:r>
    </w:p>
    <w:p>
      <w:pPr>
        <w:spacing w:after="160"/>
      </w:pPr>
      <w:r>
        <w:rPr>
          <w:rFonts w:ascii="Arial" w:cs="Arial" w:eastAsia="Arial" w:hAnsi="Arial"/>
          <w:sz w:val="22"/>
          <w:szCs w:val="22"/>
        </w:rPr>
        <w:t xml:space="preserve">If you're planning a franchise expansion into new US markets, your permit timeline is not just an administrative detail — it is a core variable in your opening date, your lease economics, and your cash flow. Franchise permit requirements vary dramatically by state, and within states, by county and municipality. The difference between a fast-permitting jurisdiction and a slow one can mean the difference between a 6-week construction timeline and a 6-month one. Understanding how franchise permits work by state — and which markets are known for speed versus delays — is essential for any franchisor or franchise developer building a realistic expansion plan.</w:t>
      </w:r>
    </w:p>
    <w:p>
      <w:r>
        <w:t xml:space="preserve"/>
      </w:r>
    </w:p>
    <w:p>
      <w:pPr>
        <w:pStyle w:val="Heading2"/>
      </w:pPr>
      <w:r>
        <w:rPr>
          <w:rFonts w:ascii="Arial" w:cs="Arial" w:eastAsia="Arial" w:hAnsi="Arial"/>
          <w:b/>
          <w:bCs/>
          <w:sz w:val="28"/>
          <w:szCs w:val="28"/>
        </w:rPr>
        <w:t xml:space="preserve">Why Franchise Permit Timelines Vary So Dramatically</w:t>
      </w:r>
    </w:p>
    <w:p>
      <w:pPr>
        <w:spacing w:after="160"/>
      </w:pPr>
      <w:r>
        <w:rPr>
          <w:rFonts w:ascii="Arial" w:cs="Arial" w:eastAsia="Arial" w:hAnsi="Arial"/>
          <w:sz w:val="22"/>
          <w:szCs w:val="22"/>
        </w:rPr>
        <w:t xml:space="preserve">Permit timelines are driven by a combination of factors: staffing levels in local building departments, submission volume, code complexity, plan review outsourcing policies, and the availability of third-party review options. States and cities that have invested in digital submission systems, third-party plan review, and dedicated commercial permit tracks tend to move significantly faster than jurisdictions that rely on manual paper processes and overburdened in-house staff.</w:t>
      </w:r>
    </w:p>
    <w:p>
      <w:pPr>
        <w:spacing w:after="160"/>
      </w:pPr>
      <w:r>
        <w:rPr>
          <w:rFonts w:ascii="Arial" w:cs="Arial" w:eastAsia="Arial" w:hAnsi="Arial"/>
          <w:sz w:val="22"/>
          <w:szCs w:val="22"/>
        </w:rPr>
        <w:t xml:space="preserve">For franchisors managing multi-state rollouts, this variability has direct implications for lease timing and opening schedules. A permit application filed simultaneously in two different markets may be approved in three weeks in one jurisdiction and still pending correction review three months later in another.</w:t>
      </w:r>
    </w:p>
    <w:p>
      <w:r>
        <w:t xml:space="preserve"/>
      </w:r>
    </w:p>
    <w:p>
      <w:pPr>
        <w:pStyle w:val="Heading2"/>
      </w:pPr>
      <w:r>
        <w:rPr>
          <w:rFonts w:ascii="Arial" w:cs="Arial" w:eastAsia="Arial" w:hAnsi="Arial"/>
          <w:b/>
          <w:bCs/>
          <w:sz w:val="28"/>
          <w:szCs w:val="28"/>
        </w:rPr>
        <w:t xml:space="preserve">States and Markets Known for Faster Permitting</w:t>
      </w:r>
    </w:p>
    <w:p>
      <w:pPr>
        <w:spacing w:after="160"/>
      </w:pPr>
      <w:r>
        <w:rPr>
          <w:rFonts w:ascii="Arial" w:cs="Arial" w:eastAsia="Arial" w:hAnsi="Arial"/>
          <w:sz w:val="22"/>
          <w:szCs w:val="22"/>
        </w:rPr>
        <w:t xml:space="preserve">While permit timelines fluctuate based on project volume and staffing, certain states and markets have established reputations for more efficient commercial permitting:</w:t>
      </w:r>
    </w:p>
    <w:p>
      <w:pPr>
        <w:pStyle w:val="ListParagraph"/>
        <w:numPr>
          <w:ilvl w:val="0"/>
          <w:numId w:val="2"/>
        </w:numPr>
        <w:spacing w:after="120"/>
      </w:pPr>
      <w:r>
        <w:rPr>
          <w:rFonts w:ascii="Arial" w:cs="Arial" w:eastAsia="Arial" w:hAnsi="Arial"/>
          <w:sz w:val="22"/>
          <w:szCs w:val="22"/>
        </w:rPr>
        <w:t xml:space="preserve">Texas: Many Texas municipalities offer fast-track commercial review programs, and the state's construction-friendly regulatory environment tends to support quicker permit approval cycles in markets like Dallas-Fort Worth, Houston, and Austin.</w:t>
      </w:r>
    </w:p>
    <w:p>
      <w:pPr>
        <w:pStyle w:val="ListParagraph"/>
        <w:numPr>
          <w:ilvl w:val="0"/>
          <w:numId w:val="2"/>
        </w:numPr>
        <w:spacing w:after="120"/>
      </w:pPr>
      <w:r>
        <w:rPr>
          <w:rFonts w:ascii="Arial" w:cs="Arial" w:eastAsia="Arial" w:hAnsi="Arial"/>
          <w:sz w:val="22"/>
          <w:szCs w:val="22"/>
        </w:rPr>
        <w:t xml:space="preserve">Georgia: Atlanta and its surrounding metro counties are generally regarded as efficient permitting markets for commercial buildouts, with predictable review cycles and established processes for franchise-scale projects.</w:t>
      </w:r>
    </w:p>
    <w:p>
      <w:pPr>
        <w:pStyle w:val="ListParagraph"/>
        <w:numPr>
          <w:ilvl w:val="0"/>
          <w:numId w:val="2"/>
        </w:numPr>
        <w:spacing w:after="120"/>
      </w:pPr>
      <w:r>
        <w:rPr>
          <w:rFonts w:ascii="Arial" w:cs="Arial" w:eastAsia="Arial" w:hAnsi="Arial"/>
          <w:sz w:val="22"/>
          <w:szCs w:val="22"/>
        </w:rPr>
        <w:t xml:space="preserve">Tennessee: Nashville in particular has a strong track record for relatively efficient commercial permitting, supported by strong construction market infrastructure.</w:t>
      </w:r>
    </w:p>
    <w:p>
      <w:pPr>
        <w:pStyle w:val="ListParagraph"/>
        <w:numPr>
          <w:ilvl w:val="0"/>
          <w:numId w:val="2"/>
        </w:numPr>
        <w:spacing w:after="120"/>
      </w:pPr>
      <w:r>
        <w:rPr>
          <w:rFonts w:ascii="Arial" w:cs="Arial" w:eastAsia="Arial" w:hAnsi="Arial"/>
          <w:sz w:val="22"/>
          <w:szCs w:val="22"/>
        </w:rPr>
        <w:t xml:space="preserve">Arizona: Maricopa County and the Phoenix metro area have invested in digital permitting infrastructure that supports faster review timelines compared to national averages.</w:t>
      </w:r>
    </w:p>
    <w:p>
      <w:pPr>
        <w:pStyle w:val="ListParagraph"/>
        <w:numPr>
          <w:ilvl w:val="0"/>
          <w:numId w:val="2"/>
        </w:numPr>
        <w:spacing w:after="120"/>
      </w:pPr>
      <w:r>
        <w:rPr>
          <w:rFonts w:ascii="Arial" w:cs="Arial" w:eastAsia="Arial" w:hAnsi="Arial"/>
          <w:sz w:val="22"/>
          <w:szCs w:val="22"/>
        </w:rPr>
        <w:t xml:space="preserve">North Carolina: The Research Triangle and Charlotte markets tend to offer competitive permit timelines for commercial construction.</w:t>
      </w:r>
    </w:p>
    <w:p>
      <w:r>
        <w:t xml:space="preserve"/>
      </w:r>
    </w:p>
    <w:p>
      <w:pPr>
        <w:pStyle w:val="Heading2"/>
      </w:pPr>
      <w:r>
        <w:rPr>
          <w:rFonts w:ascii="Arial" w:cs="Arial" w:eastAsia="Arial" w:hAnsi="Arial"/>
          <w:b/>
          <w:bCs/>
          <w:sz w:val="28"/>
          <w:szCs w:val="28"/>
        </w:rPr>
        <w:t xml:space="preserve">States and Markets Known for Longer Permitting Timelines</w:t>
      </w:r>
    </w:p>
    <w:p>
      <w:pPr>
        <w:spacing w:after="160"/>
      </w:pPr>
      <w:r>
        <w:rPr>
          <w:rFonts w:ascii="Arial" w:cs="Arial" w:eastAsia="Arial" w:hAnsi="Arial"/>
          <w:sz w:val="22"/>
          <w:szCs w:val="22"/>
        </w:rPr>
        <w:t xml:space="preserve">Conversely, several markets are well known among franchise developers and construction teams for extended permit review cycles:</w:t>
      </w:r>
    </w:p>
    <w:p>
      <w:pPr>
        <w:pStyle w:val="ListParagraph"/>
        <w:numPr>
          <w:ilvl w:val="0"/>
          <w:numId w:val="2"/>
        </w:numPr>
        <w:spacing w:after="120"/>
      </w:pPr>
      <w:r>
        <w:rPr>
          <w:rFonts w:ascii="Arial" w:cs="Arial" w:eastAsia="Arial" w:hAnsi="Arial"/>
          <w:sz w:val="22"/>
          <w:szCs w:val="22"/>
        </w:rPr>
        <w:t xml:space="preserve">California: Permit timelines in California — particularly in the Bay Area, Los Angeles, and other urban markets — are among the longest in the country. Complex code requirements, high submission volumes, and multi-agency review processes routinely extend timelines to 3 to 6 months or longer.</w:t>
      </w:r>
    </w:p>
    <w:p>
      <w:pPr>
        <w:pStyle w:val="ListParagraph"/>
        <w:numPr>
          <w:ilvl w:val="0"/>
          <w:numId w:val="2"/>
        </w:numPr>
        <w:spacing w:after="120"/>
      </w:pPr>
      <w:r>
        <w:rPr>
          <w:rFonts w:ascii="Arial" w:cs="Arial" w:eastAsia="Arial" w:hAnsi="Arial"/>
          <w:sz w:val="22"/>
          <w:szCs w:val="22"/>
        </w:rPr>
        <w:t xml:space="preserve">New York: New York City's permitting process is among the most complex in the US, with multiple agencies, borough-specific requirements, and labor regulations that create significant lead time challenges for franchise operators.</w:t>
      </w:r>
    </w:p>
    <w:p>
      <w:pPr>
        <w:pStyle w:val="ListParagraph"/>
        <w:numPr>
          <w:ilvl w:val="0"/>
          <w:numId w:val="2"/>
        </w:numPr>
        <w:spacing w:after="120"/>
      </w:pPr>
      <w:r>
        <w:rPr>
          <w:rFonts w:ascii="Arial" w:cs="Arial" w:eastAsia="Arial" w:hAnsi="Arial"/>
          <w:sz w:val="22"/>
          <w:szCs w:val="22"/>
        </w:rPr>
        <w:t xml:space="preserve">Illinois (Chicago): Chicago's commercial permit process involves multiple city departments and a review workflow that can extend significantly based on project type and neighborhood.</w:t>
      </w:r>
    </w:p>
    <w:p>
      <w:pPr>
        <w:pStyle w:val="ListParagraph"/>
        <w:numPr>
          <w:ilvl w:val="0"/>
          <w:numId w:val="2"/>
        </w:numPr>
        <w:spacing w:after="120"/>
      </w:pPr>
      <w:r>
        <w:rPr>
          <w:rFonts w:ascii="Arial" w:cs="Arial" w:eastAsia="Arial" w:hAnsi="Arial"/>
          <w:sz w:val="22"/>
          <w:szCs w:val="22"/>
        </w:rPr>
        <w:t xml:space="preserve">Massachusetts: Boston and surrounding jurisdictions carry longer-than-average review timelines for commercial buildouts, compounded by historical district regulations in certain areas.</w:t>
      </w:r>
    </w:p>
    <w:p>
      <w:r>
        <w:t xml:space="preserve"/>
      </w:r>
    </w:p>
    <w:p>
      <w:pPr>
        <w:pStyle w:val="Heading2"/>
      </w:pPr>
      <w:r>
        <w:rPr>
          <w:rFonts w:ascii="Arial" w:cs="Arial" w:eastAsia="Arial" w:hAnsi="Arial"/>
          <w:b/>
          <w:bCs/>
          <w:sz w:val="28"/>
          <w:szCs w:val="28"/>
        </w:rPr>
        <w:t xml:space="preserve">Florida: A Market That Requires Special Attention</w:t>
      </w:r>
    </w:p>
    <w:p>
      <w:pPr>
        <w:spacing w:after="160"/>
      </w:pPr>
      <w:r>
        <w:rPr>
          <w:rFonts w:ascii="Arial" w:cs="Arial" w:eastAsia="Arial" w:hAnsi="Arial"/>
          <w:sz w:val="22"/>
          <w:szCs w:val="22"/>
        </w:rPr>
        <w:t xml:space="preserve">Florida deserves its own discussion in any review of franchise permit timelines by state. The state's rapid population growth, high construction volume, and strong franchise market activity have created significant pressure on permitting offices throughout the state — but the picture varies considerably by county.</w:t>
      </w:r>
    </w:p>
    <w:p>
      <w:pPr>
        <w:spacing w:after="160"/>
      </w:pPr>
      <w:r>
        <w:rPr>
          <w:rFonts w:ascii="Arial" w:cs="Arial" w:eastAsia="Arial" w:hAnsi="Arial"/>
          <w:sz w:val="22"/>
          <w:szCs w:val="22"/>
        </w:rPr>
        <w:t xml:space="preserve">Miami-Dade and Broward counties, two of the most active franchise development markets in the state, are known for longer review cycles driven by high submission volumes. Hillsborough County (Tampa) and Pinellas County (St. Petersburg) tend to offer somewhat more efficient timelines, while Duval County (Jacksonville) has invested in permitting modernization with noticeable results.</w:t>
      </w:r>
    </w:p>
    <w:p>
      <w:pPr>
        <w:spacing w:after="160"/>
      </w:pPr>
      <w:r>
        <w:rPr>
          <w:rFonts w:ascii="Arial" w:cs="Arial" w:eastAsia="Arial" w:hAnsi="Arial"/>
          <w:sz w:val="22"/>
          <w:szCs w:val="22"/>
        </w:rPr>
        <w:t xml:space="preserve">For franchise brands active in Florida, the practical implication is clear: jurisdiction-specific permit strategy matters. Filing the same package in Miami-Dade and expecting the same timeline as a Hillsborough submission is a planning error that will cost you weeks.</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4F72" w:sz="6"/>
              <w:left w:val="single" w:color="1B4F72" w:sz="6"/>
              <w:bottom w:val="single" w:color="1B4F72" w:sz="6"/>
              <w:right w:val="single" w:color="1B4F72" w:sz="6"/>
            </w:tcBorders>
            <w:shd w:fill="EBF5FB" w:val="clear"/>
            <w:tcMar>
              <w:top w:type="dxa" w:w="160"/>
              <w:left w:type="dxa" w:w="200"/>
              <w:bottom w:type="dxa" w:w="160"/>
              <w:right w:type="dxa" w:w="200"/>
            </w:tcMar>
          </w:tcPr>
          <w:p>
            <w:r>
              <w:rPr>
                <w:rFonts w:ascii="Arial" w:cs="Arial" w:eastAsia="Arial" w:hAnsi="Arial"/>
                <w:b/>
                <w:bCs/>
                <w:color w:val="1B4F72"/>
                <w:sz w:val="22"/>
                <w:szCs w:val="22"/>
              </w:rPr>
              <w:t xml:space="preserve">Brand2Builds</w:t>
            </w:r>
          </w:p>
          <w:p>
            <w:pPr>
              <w:spacing w:after="0"/>
            </w:pPr>
            <w:r>
              <w:rPr>
                <w:rFonts w:ascii="Arial" w:cs="Arial" w:eastAsia="Arial" w:hAnsi="Arial"/>
                <w:i/>
                <w:iCs/>
                <w:sz w:val="22"/>
                <w:szCs w:val="22"/>
              </w:rPr>
              <w:t xml:space="preserve">Brand2Builds manages permitting across all 48 contiguous US states. Our team knows which jurisdictions move quickly and how to prepare submissions that minimize correction rounds — including across Florida's varied county requirements.</w:t>
            </w:r>
          </w:p>
        </w:tc>
      </w:tr>
    </w:tbl>
    <w:p>
      <w:r>
        <w:t xml:space="preserve"/>
      </w:r>
    </w:p>
    <w:p>
      <w:pPr>
        <w:pStyle w:val="Heading2"/>
      </w:pPr>
      <w:r>
        <w:rPr>
          <w:rFonts w:ascii="Arial" w:cs="Arial" w:eastAsia="Arial" w:hAnsi="Arial"/>
          <w:b/>
          <w:bCs/>
          <w:sz w:val="28"/>
          <w:szCs w:val="28"/>
        </w:rPr>
        <w:t xml:space="preserve">How to Plan Your Franchise Expansion Timeline Around Permit Risk</w:t>
      </w:r>
    </w:p>
    <w:p>
      <w:pPr>
        <w:spacing w:after="160"/>
      </w:pPr>
      <w:r>
        <w:rPr>
          <w:rFonts w:ascii="Arial" w:cs="Arial" w:eastAsia="Arial" w:hAnsi="Arial"/>
          <w:sz w:val="22"/>
          <w:szCs w:val="22"/>
        </w:rPr>
        <w:t xml:space="preserve">For franchisors and franchise developers building multi-state expansion plans, here is a practical framework for incorporating permit timelines into your schedule:</w:t>
      </w:r>
    </w:p>
    <w:p>
      <w:pPr>
        <w:pStyle w:val="ListParagraph"/>
        <w:numPr>
          <w:ilvl w:val="0"/>
          <w:numId w:val="2"/>
        </w:numPr>
        <w:spacing w:after="120"/>
      </w:pPr>
      <w:r>
        <w:rPr>
          <w:rFonts w:ascii="Arial" w:cs="Arial" w:eastAsia="Arial" w:hAnsi="Arial"/>
          <w:sz w:val="22"/>
          <w:szCs w:val="22"/>
        </w:rPr>
        <w:t xml:space="preserve">Research permit timelines for each target jurisdiction before finalizing lease negotiations — permit risk should inform your rent commencement date and build-out period requests</w:t>
      </w:r>
    </w:p>
    <w:p>
      <w:pPr>
        <w:pStyle w:val="ListParagraph"/>
        <w:numPr>
          <w:ilvl w:val="0"/>
          <w:numId w:val="2"/>
        </w:numPr>
        <w:spacing w:after="120"/>
      </w:pPr>
      <w:r>
        <w:rPr>
          <w:rFonts w:ascii="Arial" w:cs="Arial" w:eastAsia="Arial" w:hAnsi="Arial"/>
          <w:sz w:val="22"/>
          <w:szCs w:val="22"/>
        </w:rPr>
        <w:t xml:space="preserve">Submit permit applications as early as possible — ideally concurrent with or immediately following lease execution</w:t>
      </w:r>
    </w:p>
    <w:p>
      <w:pPr>
        <w:pStyle w:val="ListParagraph"/>
        <w:numPr>
          <w:ilvl w:val="0"/>
          <w:numId w:val="2"/>
        </w:numPr>
        <w:spacing w:after="120"/>
      </w:pPr>
      <w:r>
        <w:rPr>
          <w:rFonts w:ascii="Arial" w:cs="Arial" w:eastAsia="Arial" w:hAnsi="Arial"/>
          <w:sz w:val="22"/>
          <w:szCs w:val="22"/>
        </w:rPr>
        <w:t xml:space="preserve">Use permit-ready design documentation that anticipates local AHJ requirements to minimize correction cycles</w:t>
      </w:r>
    </w:p>
    <w:p>
      <w:pPr>
        <w:pStyle w:val="ListParagraph"/>
        <w:numPr>
          <w:ilvl w:val="0"/>
          <w:numId w:val="2"/>
        </w:numPr>
        <w:spacing w:after="120"/>
      </w:pPr>
      <w:r>
        <w:rPr>
          <w:rFonts w:ascii="Arial" w:cs="Arial" w:eastAsia="Arial" w:hAnsi="Arial"/>
          <w:sz w:val="22"/>
          <w:szCs w:val="22"/>
        </w:rPr>
        <w:t xml:space="preserve">Build jurisdiction-specific schedule contingencies into your project timelines rather than applying a single national average</w:t>
      </w:r>
    </w:p>
    <w:p>
      <w:pPr>
        <w:pStyle w:val="ListParagraph"/>
        <w:numPr>
          <w:ilvl w:val="0"/>
          <w:numId w:val="2"/>
        </w:numPr>
        <w:spacing w:after="120"/>
      </w:pPr>
      <w:r>
        <w:rPr>
          <w:rFonts w:ascii="Arial" w:cs="Arial" w:eastAsia="Arial" w:hAnsi="Arial"/>
          <w:sz w:val="22"/>
          <w:szCs w:val="22"/>
        </w:rPr>
        <w:t xml:space="preserve">Partner with a design firm that has active experience in each target market and established AHJ relationships</w:t>
      </w:r>
    </w:p>
    <w:p>
      <w:pPr>
        <w:pStyle w:val="ListParagraph"/>
        <w:numPr>
          <w:ilvl w:val="0"/>
          <w:numId w:val="2"/>
        </w:numPr>
        <w:spacing w:after="120"/>
      </w:pPr>
      <w:r>
        <w:rPr>
          <w:rFonts w:ascii="Arial" w:cs="Arial" w:eastAsia="Arial" w:hAnsi="Arial"/>
          <w:sz w:val="22"/>
          <w:szCs w:val="22"/>
        </w:rPr>
        <w:t xml:space="preserve">Track correction letter patterns in your target jurisdictions — markets with high correction rates require additional review layers before submission</w:t>
      </w:r>
    </w:p>
    <w:p>
      <w:r>
        <w:t xml:space="preserve"/>
      </w:r>
    </w:p>
    <w:p>
      <w:pPr>
        <w:pStyle w:val="Heading2"/>
      </w:pPr>
      <w:r>
        <w:rPr>
          <w:rFonts w:ascii="Arial" w:cs="Arial" w:eastAsia="Arial" w:hAnsi="Arial"/>
          <w:b/>
          <w:bCs/>
          <w:sz w:val="28"/>
          <w:szCs w:val="28"/>
        </w:rPr>
        <w:t xml:space="preserve">The Future of Franchise Permitting</w:t>
      </w:r>
    </w:p>
    <w:p>
      <w:pPr>
        <w:spacing w:after="160"/>
      </w:pPr>
      <w:r>
        <w:rPr>
          <w:rFonts w:ascii="Arial" w:cs="Arial" w:eastAsia="Arial" w:hAnsi="Arial"/>
          <w:sz w:val="22"/>
          <w:szCs w:val="22"/>
        </w:rPr>
        <w:t xml:space="preserve">The permitting landscape is changing. More jurisdictions are adopting digital submission systems, third-party plan review programs, and electronic permit tracking — all of which tend to reduce timelines and increase transparency for franchise developers. Concurrent review programs, which allow multiple agencies to review plans simultaneously rather than sequentially, are also becoming more common.</w:t>
      </w:r>
    </w:p>
    <w:p>
      <w:pPr>
        <w:spacing w:after="160"/>
      </w:pPr>
      <w:r>
        <w:rPr>
          <w:rFonts w:ascii="Arial" w:cs="Arial" w:eastAsia="Arial" w:hAnsi="Arial"/>
          <w:sz w:val="22"/>
          <w:szCs w:val="22"/>
        </w:rPr>
        <w:t xml:space="preserve">For franchise brands planning significant expansion, the ability to navigate this evolving landscape — and to work with design and construction partners who monitor jurisdictional changes proactively — is increasingly a competitive advantage.</w:t>
      </w:r>
    </w:p>
    <w:p>
      <w:r>
        <w:t xml:space="preserve"/>
      </w:r>
    </w:p>
    <w:p>
      <w:pPr>
        <w:pStyle w:val="Heading2"/>
      </w:pPr>
      <w:r>
        <w:rPr>
          <w:rFonts w:ascii="Arial" w:cs="Arial" w:eastAsia="Arial" w:hAnsi="Arial"/>
          <w:b/>
          <w:bCs/>
          <w:sz w:val="28"/>
          <w:szCs w:val="28"/>
        </w:rPr>
        <w:t xml:space="preserve">Conclusion</w:t>
      </w:r>
    </w:p>
    <w:p>
      <w:pPr>
        <w:spacing w:after="160"/>
      </w:pPr>
      <w:r>
        <w:rPr>
          <w:rFonts w:ascii="Arial" w:cs="Arial" w:eastAsia="Arial" w:hAnsi="Arial"/>
          <w:sz w:val="22"/>
          <w:szCs w:val="22"/>
        </w:rPr>
        <w:t xml:space="preserve">Franchise permit timelines are not uniform, and treating them as if they were leads directly to missed opening dates and budget overruns. The most effective franchise developers plan with jurisdiction-specific knowledge: which markets move fast, which carry significant delay risk, and how to structure permit submissions to minimize correction cycles in each. Building that intelligence into your expansion planning from the start — rather than discovering it after your lease is signed — is one of the highest-leverage improvements a growing franchise brand can make to its development operations.</w:t>
      </w:r>
    </w:p>
    <w:p>
      <w:r>
        <w:t xml:space="preserve"/>
      </w:r>
    </w:p>
    <w:p>
      <w:pPr>
        <w:pBdr>
          <w:bottom w:val="single" w:color="2E75B6" w:sz="6" w:space="1"/>
        </w:pBdr>
      </w:pPr>
      <w:r>
        <w:t xml:space="preserve"/>
      </w:r>
    </w:p>
    <w:p>
      <w:r>
        <w:t xml:space="preserve"/>
      </w:r>
    </w:p>
    <w:p>
      <w:pPr>
        <w:pStyle w:val="Heading2"/>
      </w:pPr>
      <w:r>
        <w:rPr>
          <w:rFonts w:ascii="Arial" w:cs="Arial" w:eastAsia="Arial" w:hAnsi="Arial"/>
          <w:b/>
          <w:bCs/>
          <w:sz w:val="28"/>
          <w:szCs w:val="28"/>
        </w:rPr>
        <w:t xml:space="preserve">SEO + Content Metadata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Title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Franchise Permits by State: Which Markets Move Fast</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Description</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Franchise permit timelines vary dramatically by state and city. Learn which US markets move fast, which cause delays, and how to plan your expansion timeline.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URL Slug</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/blog/franchise-permits-by-state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Schema Type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Article / FAQPage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Featured Snippet</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Franchise permit timelines vary significantly by state and jurisdiction. Texas, Georgia, Tennessee, and Arizona are generally faster markets. California, New York, and Illinois carry longer timelines. In Florida, permit review cycles vary considerably by county, with Miami-Dade and Broward known for higher submission volumes.</w:t>
            </w:r>
          </w:p>
        </w:tc>
      </w:tr>
    </w:tbl>
    <w:p>
      <w:r>
        <w:t xml:space="preserve"/>
      </w:r>
    </w:p>
    <w:p>
      <w:pPr>
        <w:pStyle w:val="Heading3"/>
      </w:pPr>
      <w:r>
        <w:rPr>
          <w:rFonts w:ascii="Arial" w:cs="Arial" w:eastAsia="Arial" w:hAnsi="Arial"/>
          <w:b/>
          <w:bCs/>
          <w:sz w:val="24"/>
          <w:szCs w:val="24"/>
        </w:rPr>
        <w:t xml:space="preserve">Internal Link Opportunities</w:t>
      </w:r>
    </w:p>
    <w:p>
      <w:pPr>
        <w:pStyle w:val="ListParagraph"/>
        <w:numPr>
          <w:ilvl w:val="0"/>
          <w:numId w:val="2"/>
        </w:numPr>
        <w:spacing w:after="120"/>
      </w:pPr>
      <w:r>
        <w:rPr>
          <w:rFonts w:ascii="Arial" w:cs="Arial" w:eastAsia="Arial" w:hAnsi="Arial"/>
          <w:sz w:val="22"/>
          <w:szCs w:val="22"/>
        </w:rPr>
        <w:t xml:space="preserve">Why Franchise Buildouts Take Longer Than Expected</w:t>
      </w:r>
    </w:p>
    <w:p>
      <w:pPr>
        <w:pStyle w:val="ListParagraph"/>
        <w:numPr>
          <w:ilvl w:val="0"/>
          <w:numId w:val="2"/>
        </w:numPr>
        <w:spacing w:after="120"/>
      </w:pPr>
      <w:r>
        <w:rPr>
          <w:rFonts w:ascii="Arial" w:cs="Arial" w:eastAsia="Arial" w:hAnsi="Arial"/>
          <w:sz w:val="22"/>
          <w:szCs w:val="22"/>
        </w:rPr>
        <w:t xml:space="preserve">How to Choose a Design Firm for Franchise Expansion</w:t>
      </w:r>
    </w:p>
    <w:p>
      <w:pPr>
        <w:pStyle w:val="ListParagraph"/>
        <w:numPr>
          <w:ilvl w:val="0"/>
          <w:numId w:val="2"/>
        </w:numPr>
        <w:spacing w:after="120"/>
      </w:pPr>
      <w:r>
        <w:rPr>
          <w:rFonts w:ascii="Arial" w:cs="Arial" w:eastAsia="Arial" w:hAnsi="Arial"/>
          <w:sz w:val="22"/>
          <w:szCs w:val="22"/>
        </w:rPr>
        <w:t xml:space="preserve">The Franchise Site Go/No-Go Decision</w:t>
      </w:r>
    </w:p>
    <w:p>
      <w:pPr>
        <w:pStyle w:val="ListParagraph"/>
        <w:numPr>
          <w:ilvl w:val="0"/>
          <w:numId w:val="2"/>
        </w:numPr>
        <w:spacing w:after="120"/>
      </w:pPr>
      <w:r>
        <w:rPr>
          <w:rFonts w:ascii="Arial" w:cs="Arial" w:eastAsia="Arial" w:hAnsi="Arial"/>
          <w:sz w:val="22"/>
          <w:szCs w:val="22"/>
        </w:rPr>
        <w:t xml:space="preserve">Brand2Builds Multi-State Permitting Services</w:t>
      </w:r>
    </w:p>
    <w:p>
      <w:pPr>
        <w:pStyle w:val="ListParagraph"/>
        <w:numPr>
          <w:ilvl w:val="0"/>
          <w:numId w:val="2"/>
        </w:numPr>
        <w:spacing w:after="120"/>
      </w:pPr>
      <w:r>
        <w:rPr>
          <w:rFonts w:ascii="Arial" w:cs="Arial" w:eastAsia="Arial" w:hAnsi="Arial"/>
          <w:sz w:val="22"/>
          <w:szCs w:val="22"/>
        </w:rPr>
        <w:t xml:space="preserve">What Is an AHJ and How Does It Affect Your Franchise Buildout?</w:t>
      </w:r>
    </w:p>
    <w:p>
      <w:r>
        <w:t xml:space="preserve"/>
      </w:r>
    </w:p>
    <w:p>
      <w:pPr>
        <w:pStyle w:val="Heading3"/>
      </w:pPr>
      <w:r>
        <w:rPr>
          <w:rFonts w:ascii="Arial" w:cs="Arial" w:eastAsia="Arial" w:hAnsi="Arial"/>
          <w:b/>
          <w:bCs/>
          <w:sz w:val="24"/>
          <w:szCs w:val="24"/>
        </w:rPr>
        <w:t xml:space="preserve">CTA Variations</w:t>
      </w:r>
    </w:p>
    <w:p>
      <w:pPr>
        <w:pStyle w:val="ListParagraph"/>
        <w:numPr>
          <w:ilvl w:val="0"/>
          <w:numId w:val="3"/>
        </w:numPr>
        <w:spacing w:after="120"/>
      </w:pPr>
      <w:r>
        <w:rPr>
          <w:rFonts w:ascii="Arial" w:cs="Arial" w:eastAsia="Arial" w:hAnsi="Arial"/>
          <w:sz w:val="22"/>
          <w:szCs w:val="22"/>
        </w:rPr>
        <w:t xml:space="preserve">Talk to Brand2Builds about permit timelines in your target expansion markets.</w:t>
      </w:r>
    </w:p>
    <w:p>
      <w:pPr>
        <w:pStyle w:val="ListParagraph"/>
        <w:numPr>
          <w:ilvl w:val="0"/>
          <w:numId w:val="3"/>
        </w:numPr>
        <w:spacing w:after="120"/>
      </w:pPr>
      <w:r>
        <w:rPr>
          <w:rFonts w:ascii="Arial" w:cs="Arial" w:eastAsia="Arial" w:hAnsi="Arial"/>
          <w:sz w:val="22"/>
          <w:szCs w:val="22"/>
        </w:rPr>
        <w:t xml:space="preserve">Request a jurisdiction-specific permit risk assessment for your next franchise location.</w:t>
      </w:r>
    </w:p>
    <w:p>
      <w:pPr>
        <w:pStyle w:val="ListParagraph"/>
        <w:numPr>
          <w:ilvl w:val="0"/>
          <w:numId w:val="3"/>
        </w:numPr>
        <w:spacing w:after="120"/>
      </w:pPr>
      <w:r>
        <w:rPr>
          <w:rFonts w:ascii="Arial" w:cs="Arial" w:eastAsia="Arial" w:hAnsi="Arial"/>
          <w:sz w:val="22"/>
          <w:szCs w:val="22"/>
        </w:rPr>
        <w:t xml:space="preserve">See how Brand2Builds manages permitting across 48 states.</w:t>
      </w:r>
    </w:p>
    <w:p>
      <w:r>
        <w:t xml:space="preserve"/>
      </w:r>
    </w:p>
    <w:p>
      <w:pPr>
        <w:pStyle w:val="Heading3"/>
      </w:pPr>
      <w:r>
        <w:rPr>
          <w:rFonts w:ascii="Arial" w:cs="Arial" w:eastAsia="Arial" w:hAnsi="Arial"/>
          <w:b/>
          <w:bCs/>
          <w:sz w:val="24"/>
          <w:szCs w:val="24"/>
        </w:rPr>
        <w:t xml:space="preserve">FAQ Questions for SEO</w:t>
      </w:r>
    </w:p>
    <w:p>
      <w:pPr>
        <w:pStyle w:val="ListParagraph"/>
        <w:numPr>
          <w:ilvl w:val="0"/>
          <w:numId w:val="2"/>
        </w:numPr>
        <w:spacing w:after="120"/>
      </w:pPr>
      <w:r>
        <w:rPr>
          <w:rFonts w:ascii="Arial" w:cs="Arial" w:eastAsia="Arial" w:hAnsi="Arial"/>
          <w:sz w:val="22"/>
          <w:szCs w:val="22"/>
        </w:rPr>
        <w:t xml:space="preserve">Which US states have the fastest franchise construction permit timelines?</w:t>
      </w:r>
    </w:p>
    <w:p>
      <w:pPr>
        <w:pStyle w:val="ListParagraph"/>
        <w:numPr>
          <w:ilvl w:val="0"/>
          <w:numId w:val="2"/>
        </w:numPr>
        <w:spacing w:after="120"/>
      </w:pPr>
      <w:r>
        <w:rPr>
          <w:rFonts w:ascii="Arial" w:cs="Arial" w:eastAsia="Arial" w:hAnsi="Arial"/>
          <w:sz w:val="22"/>
          <w:szCs w:val="22"/>
        </w:rPr>
        <w:t xml:space="preserve">How long does it take to get a franchise buildout permit in Florida?</w:t>
      </w:r>
    </w:p>
    <w:p>
      <w:pPr>
        <w:pStyle w:val="ListParagraph"/>
        <w:numPr>
          <w:ilvl w:val="0"/>
          <w:numId w:val="2"/>
        </w:numPr>
        <w:spacing w:after="120"/>
      </w:pPr>
      <w:r>
        <w:rPr>
          <w:rFonts w:ascii="Arial" w:cs="Arial" w:eastAsia="Arial" w:hAnsi="Arial"/>
          <w:sz w:val="22"/>
          <w:szCs w:val="22"/>
        </w:rPr>
        <w:t xml:space="preserve">How do I plan franchise expansion timelines around permit risk?</w:t>
      </w:r>
    </w:p>
    <w:p>
      <w:r>
        <w:t xml:space="preserve"/>
      </w:r>
    </w:p>
    <w:p>
      <w:pPr>
        <w:pStyle w:val="Heading3"/>
      </w:pPr>
      <w:r>
        <w:rPr>
          <w:rFonts w:ascii="Arial" w:cs="Arial" w:eastAsia="Arial" w:hAnsi="Arial"/>
          <w:b/>
          <w:bCs/>
          <w:sz w:val="24"/>
          <w:szCs w:val="24"/>
        </w:rPr>
        <w:t xml:space="preserve">Suggested Image Ideas</w:t>
      </w:r>
    </w:p>
    <w:p>
      <w:pPr>
        <w:pStyle w:val="ListParagraph"/>
        <w:numPr>
          <w:ilvl w:val="0"/>
          <w:numId w:val="2"/>
        </w:numPr>
        <w:spacing w:after="120"/>
      </w:pPr>
      <w:r>
        <w:rPr>
          <w:rFonts w:ascii="Arial" w:cs="Arial" w:eastAsia="Arial" w:hAnsi="Arial"/>
          <w:sz w:val="22"/>
          <w:szCs w:val="22"/>
        </w:rPr>
        <w:t xml:space="preserve">US map with color-coded permitting speed tiers by state</w:t>
      </w:r>
    </w:p>
    <w:p>
      <w:pPr>
        <w:pStyle w:val="ListParagraph"/>
        <w:numPr>
          <w:ilvl w:val="0"/>
          <w:numId w:val="2"/>
        </w:numPr>
        <w:spacing w:after="120"/>
      </w:pPr>
      <w:r>
        <w:rPr>
          <w:rFonts w:ascii="Arial" w:cs="Arial" w:eastAsia="Arial" w:hAnsi="Arial"/>
          <w:sz w:val="22"/>
          <w:szCs w:val="22"/>
        </w:rPr>
        <w:t xml:space="preserve">Bar chart comparing average commercial permit timelines by major metro</w:t>
      </w:r>
    </w:p>
    <w:p>
      <w:pPr>
        <w:pStyle w:val="ListParagraph"/>
        <w:numPr>
          <w:ilvl w:val="0"/>
          <w:numId w:val="2"/>
        </w:numPr>
        <w:spacing w:after="120"/>
      </w:pPr>
      <w:r>
        <w:rPr>
          <w:rFonts w:ascii="Arial" w:cs="Arial" w:eastAsia="Arial" w:hAnsi="Arial"/>
          <w:sz w:val="22"/>
          <w:szCs w:val="22"/>
        </w:rPr>
        <w:t xml:space="preserve">Florida county-level permitting comparison graphic</w:t>
      </w:r>
    </w:p>
    <w:p>
      <w:r>
        <w:t xml:space="preserve"/>
      </w:r>
    </w:p>
    <w:p>
      <w:pPr>
        <w:pStyle w:val="Heading3"/>
      </w:pPr>
      <w:r>
        <w:rPr>
          <w:rFonts w:ascii="Arial" w:cs="Arial" w:eastAsia="Arial" w:hAnsi="Arial"/>
          <w:b/>
          <w:bCs/>
          <w:sz w:val="24"/>
          <w:szCs w:val="24"/>
        </w:rPr>
        <w:t xml:space="preserve">LinkedIn Post Version</w:t>
      </w:r>
    </w:p>
    <w:p>
      <w:pPr>
        <w:spacing w:after="160"/>
      </w:pPr>
      <w:r>
        <w:rPr>
          <w:rFonts w:ascii="Arial" w:cs="Arial" w:eastAsia="Arial" w:hAnsi="Arial"/>
          <w:i/>
          <w:iCs/>
          <w:sz w:val="22"/>
          <w:szCs w:val="22"/>
        </w:rPr>
        <w:t xml:space="preserve">Franchise permit timelines vary by state — and the difference between a fast market and a slow one can cost you months on your opening date.
If you're expanding into new US markets this year, jurisdiction-specific permit planning needs to be part of your strategy from day one.
New article: Franchise Permits by State — Which Markets Move Fast [link]
#FranchiseDevelopment #FranchiseExpansion #FranchisePermits #CommercialConstruction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outlineLvl w:val="0"/>
    </w:pPr>
    <w:rPr>
      <w:rFonts w:ascii="Arial" w:cs="Arial" w:eastAsia="Arial" w:hAnsi="Arial"/>
      <w:b/>
      <w:bCs/>
      <w:color w:val="1B4F72"/>
      <w:sz w:val="36"/>
      <w:szCs w:val="36"/>
    </w:rPr>
  </w:style>
  <w:style w:type="paragraph" w:styleId="Heading2">
    <w:name w:val="Heading 2"/>
    <w:basedOn w:val="Normal"/>
    <w:next w:val="Normal"/>
    <w:qFormat/>
    <w:pPr>
      <w:spacing w:after="160" w:before="280"/>
      <w:outlineLvl w:val="1"/>
    </w:pPr>
    <w:rPr>
      <w:rFonts w:ascii="Arial" w:cs="Arial" w:eastAsia="Arial" w:hAnsi="Arial"/>
      <w:b/>
      <w:bCs/>
      <w:color w:val="2E75B6"/>
      <w:sz w:val="28"/>
      <w:szCs w:val="28"/>
    </w:rPr>
  </w:style>
  <w:style w:type="paragraph" w:styleId="Heading3">
    <w:name w:val="Heading 3"/>
    <w:basedOn w:val="Normal"/>
    <w:next w:val="Normal"/>
    <w:qFormat/>
    <w:pPr>
      <w:spacing w:after="120" w:before="200"/>
      <w:outlineLvl w:val="2"/>
    </w:pPr>
    <w:rPr>
      <w:rFonts w:ascii="Arial" w:cs="Arial" w:eastAsia="Arial" w:hAnsi="Arial"/>
      <w:b/>
      <w:bCs/>
      <w:color w:val="1A527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2026-05-19T14:40:05.976Z</dcterms:created>
  <dcterms:modified xsi:type="dcterms:W3CDTF">2026-05-19T14:40:05.976Z</dcterms:modified>
</cp:coreProperties>
</file>

<file path=docProps/custom.xml><?xml version="1.0" encoding="utf-8"?>
<Properties xmlns="http://schemas.openxmlformats.org/officeDocument/2006/custom-properties" xmlns:vt="http://schemas.openxmlformats.org/officeDocument/2006/docPropsVTypes"/>
</file>