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rFonts w:ascii="Arial" w:cs="Arial" w:eastAsia="Arial" w:hAnsi="Arial"/>
          <w:b/>
          <w:bCs/>
          <w:sz w:val="36"/>
          <w:szCs w:val="36"/>
        </w:rPr>
        <w:t xml:space="preserve">The Franchise Site Go/No-Go Decision:
What to Evaluate Before You Sign Anything</w:t>
      </w:r>
    </w:p>
    <w:p>
      <w:r>
        <w:t xml:space="preserve"/>
      </w:r>
    </w:p>
    <w:p>
      <w:pPr>
        <w:pStyle w:val="Heading2"/>
      </w:pPr>
      <w:r>
        <w:rPr>
          <w:rFonts w:ascii="Arial" w:cs="Arial" w:eastAsia="Arial" w:hAnsi="Arial"/>
          <w:b/>
          <w:bCs/>
          <w:sz w:val="28"/>
          <w:szCs w:val="28"/>
        </w:rPr>
        <w:t xml:space="preserve">Introduction</w:t>
      </w:r>
    </w:p>
    <w:p>
      <w:pPr>
        <w:spacing w:after="160"/>
      </w:pPr>
      <w:r>
        <w:rPr>
          <w:rFonts w:ascii="Arial" w:cs="Arial" w:eastAsia="Arial" w:hAnsi="Arial"/>
          <w:sz w:val="22"/>
          <w:szCs w:val="22"/>
        </w:rPr>
        <w:t xml:space="preserve">Every franchise site decision starts the same way: you find a location that looks right, the landlord is ready to negotiate, and the pressure to move quickly is real. In competitive commercial real estate markets — particularly in fast-moving areas of Florida like Miami-Dade, Broward, and Pinellas counties — that pressure can feel urgent enough to push operators past due diligence. But speed of decision does not eliminate the need for rigorous evaluation. Signing a lease on the wrong site is one of the most expensive mistakes a franchise owner can make. A structured go/no-go decision framework — supported by a professional site feasibility study — gives operators the confidence to move fast on the right sites and the discipline to walk away from the wrong ones.</w:t>
      </w:r>
    </w:p>
    <w:p>
      <w:r>
        <w:t xml:space="preserve"/>
      </w:r>
    </w:p>
    <w:p>
      <w:pPr>
        <w:pStyle w:val="Heading2"/>
      </w:pPr>
      <w:r>
        <w:rPr>
          <w:rFonts w:ascii="Arial" w:cs="Arial" w:eastAsia="Arial" w:hAnsi="Arial"/>
          <w:b/>
          <w:bCs/>
          <w:sz w:val="28"/>
          <w:szCs w:val="28"/>
        </w:rPr>
        <w:t xml:space="preserve">What a Franchise Go/No-Go Decision Actually Covers</w:t>
      </w:r>
    </w:p>
    <w:p>
      <w:pPr>
        <w:spacing w:after="160"/>
      </w:pPr>
      <w:r>
        <w:rPr>
          <w:rFonts w:ascii="Arial" w:cs="Arial" w:eastAsia="Arial" w:hAnsi="Arial"/>
          <w:sz w:val="22"/>
          <w:szCs w:val="22"/>
        </w:rPr>
        <w:t xml:space="preserve">A franchise site go/no-go decision is not just a gut check on location. It is a multi-factor evaluation that should cover every variable capable of making or breaking a site's viability. Moving forward without addressing these factors creates risk that compounds once construction begins and is nearly impossible to unwind after lease execution.</w:t>
      </w:r>
    </w:p>
    <w:p>
      <w:r>
        <w:t xml:space="preserve"/>
      </w:r>
    </w:p>
    <w:p>
      <w:pPr>
        <w:pStyle w:val="Heading3"/>
      </w:pPr>
      <w:r>
        <w:rPr>
          <w:rFonts w:ascii="Arial" w:cs="Arial" w:eastAsia="Arial" w:hAnsi="Arial"/>
          <w:b/>
          <w:bCs/>
          <w:sz w:val="24"/>
          <w:szCs w:val="24"/>
        </w:rPr>
        <w:t xml:space="preserve">Brand Fit</w:t>
      </w:r>
    </w:p>
    <w:p>
      <w:pPr>
        <w:spacing w:after="160"/>
      </w:pPr>
      <w:r>
        <w:rPr>
          <w:rFonts w:ascii="Arial" w:cs="Arial" w:eastAsia="Arial" w:hAnsi="Arial"/>
          <w:sz w:val="22"/>
          <w:szCs w:val="22"/>
        </w:rPr>
        <w:t xml:space="preserve">Not every location that meets minimum demographic requirements is the right site for a specific franchise brand. Traffic patterns, surrounding tenants, visibility, parking, accessibility, and co-tenancy alignment all affect how well a site performs for your specific concept. A site that works well for a QSR with drive-through requirements may be entirely unsuitable for a fast casual brand that depends on dine-in customer experience.</w:t>
      </w:r>
    </w:p>
    <w:p>
      <w:r>
        <w:t xml:space="preserve"/>
      </w:r>
    </w:p>
    <w:p>
      <w:pPr>
        <w:pStyle w:val="Heading3"/>
      </w:pPr>
      <w:r>
        <w:rPr>
          <w:rFonts w:ascii="Arial" w:cs="Arial" w:eastAsia="Arial" w:hAnsi="Arial"/>
          <w:b/>
          <w:bCs/>
          <w:sz w:val="24"/>
          <w:szCs w:val="24"/>
        </w:rPr>
        <w:t xml:space="preserve">Layout Feasibility</w:t>
      </w:r>
    </w:p>
    <w:p>
      <w:pPr>
        <w:spacing w:after="160"/>
      </w:pPr>
      <w:r>
        <w:rPr>
          <w:rFonts w:ascii="Arial" w:cs="Arial" w:eastAsia="Arial" w:hAnsi="Arial"/>
          <w:sz w:val="22"/>
          <w:szCs w:val="22"/>
        </w:rPr>
        <w:t xml:space="preserve">Before committing to a lease, you need to know whether your franchise prototype can actually fit within the space. Square footage alone does not determine feasibility. Column placement, ceiling height, bay depth, exit configurations, and utility rough-in locations all affect whether a buildout is operationally viable. A test-fit drawing — a conceptual layout showing how your prototype adapts to the specific space — is the minimum standard before any lease commitment.</w:t>
      </w:r>
    </w:p>
    <w:p>
      <w:r>
        <w:t xml:space="preserve"/>
      </w:r>
    </w:p>
    <w:p>
      <w:pPr>
        <w:pStyle w:val="Heading3"/>
      </w:pPr>
      <w:r>
        <w:rPr>
          <w:rFonts w:ascii="Arial" w:cs="Arial" w:eastAsia="Arial" w:hAnsi="Arial"/>
          <w:b/>
          <w:bCs/>
          <w:sz w:val="24"/>
          <w:szCs w:val="24"/>
        </w:rPr>
        <w:t xml:space="preserve">Utility Readiness</w:t>
      </w:r>
    </w:p>
    <w:p>
      <w:pPr>
        <w:spacing w:after="160"/>
      </w:pPr>
      <w:r>
        <w:rPr>
          <w:rFonts w:ascii="Arial" w:cs="Arial" w:eastAsia="Arial" w:hAnsi="Arial"/>
          <w:sz w:val="22"/>
          <w:szCs w:val="22"/>
        </w:rPr>
        <w:t xml:space="preserve">Franchise operations, particularly food service concepts, place significant demands on electrical capacity, gas infrastructure, plumbing configurations, and HVAC systems. Sites with insufficient utility infrastructure require costly upgrades that may not be reflected in initial landlord estimates. Confirming utility availability — and understanding who bears the cost of upgrades — is essential before site commitment.</w:t>
      </w:r>
    </w:p>
    <w:p>
      <w:r>
        <w:t xml:space="preserve"/>
      </w:r>
    </w:p>
    <w:p>
      <w:pPr>
        <w:pStyle w:val="Heading3"/>
      </w:pPr>
      <w:r>
        <w:rPr>
          <w:rFonts w:ascii="Arial" w:cs="Arial" w:eastAsia="Arial" w:hAnsi="Arial"/>
          <w:b/>
          <w:bCs/>
          <w:sz w:val="24"/>
          <w:szCs w:val="24"/>
        </w:rPr>
        <w:t xml:space="preserve">Permit Risk</w:t>
      </w:r>
    </w:p>
    <w:p>
      <w:pPr>
        <w:spacing w:after="160"/>
      </w:pPr>
      <w:r>
        <w:rPr>
          <w:rFonts w:ascii="Arial" w:cs="Arial" w:eastAsia="Arial" w:hAnsi="Arial"/>
          <w:sz w:val="22"/>
          <w:szCs w:val="22"/>
        </w:rPr>
        <w:t xml:space="preserve">Not all sites are equal from a permitting standpoint. Some jurisdictions review quickly and issue permits within weeks. Others have multi-month backlogs, active code amendments, or specific requirements that drive construction costs and timelines upward. Understanding the permit risk profile of a site before signing protects your opening date and your budget.</w:t>
      </w:r>
    </w:p>
    <w:p>
      <w:r>
        <w:t xml:space="preserve"/>
      </w:r>
    </w:p>
    <w:p>
      <w:pPr>
        <w:pStyle w:val="Heading3"/>
      </w:pPr>
      <w:r>
        <w:rPr>
          <w:rFonts w:ascii="Arial" w:cs="Arial" w:eastAsia="Arial" w:hAnsi="Arial"/>
          <w:b/>
          <w:bCs/>
          <w:sz w:val="24"/>
          <w:szCs w:val="24"/>
        </w:rPr>
        <w:t xml:space="preserve">Cost Estimate Alignment</w:t>
      </w:r>
    </w:p>
    <w:p>
      <w:pPr>
        <w:spacing w:after="160"/>
      </w:pPr>
      <w:r>
        <w:rPr>
          <w:rFonts w:ascii="Arial" w:cs="Arial" w:eastAsia="Arial" w:hAnsi="Arial"/>
          <w:sz w:val="22"/>
          <w:szCs w:val="22"/>
        </w:rPr>
        <w:t xml:space="preserve">A high-level construction cost estimate based on the specific site conditions — not just brand averages — should be part of any go/no-go evaluation. Sites with deferred maintenance, unique structural conditions, or obsolete utility infrastructure may carry construction costs that make an otherwise attractive location financially unviable.</w:t>
      </w:r>
    </w:p>
    <w:p>
      <w:r>
        <w:t xml:space="preserve"/>
      </w:r>
    </w:p>
    <w:p>
      <w:pPr>
        <w:pStyle w:val="Heading3"/>
      </w:pPr>
      <w:r>
        <w:rPr>
          <w:rFonts w:ascii="Arial" w:cs="Arial" w:eastAsia="Arial" w:hAnsi="Arial"/>
          <w:b/>
          <w:bCs/>
          <w:sz w:val="24"/>
          <w:szCs w:val="24"/>
        </w:rPr>
        <w:t xml:space="preserve">Landlord Terms</w:t>
      </w:r>
    </w:p>
    <w:p>
      <w:pPr>
        <w:spacing w:after="160"/>
      </w:pPr>
      <w:r>
        <w:rPr>
          <w:rFonts w:ascii="Arial" w:cs="Arial" w:eastAsia="Arial" w:hAnsi="Arial"/>
          <w:sz w:val="22"/>
          <w:szCs w:val="22"/>
        </w:rPr>
        <w:t xml:space="preserve">Tenant improvement allowances, lease commencement triggers, rent abatement periods, co-tenancy clauses, exclusivity provisions, and assignment rights all affect the economics and operational flexibility of a site. Understanding the full economic picture of a lease before committing is non-negotiable.</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B4F72" w:sz="6"/>
              <w:left w:val="single" w:color="1B4F72" w:sz="6"/>
              <w:bottom w:val="single" w:color="1B4F72" w:sz="6"/>
              <w:right w:val="single" w:color="1B4F72" w:sz="6"/>
            </w:tcBorders>
            <w:shd w:fill="EBF5FB" w:val="clear"/>
            <w:tcMar>
              <w:top w:type="dxa" w:w="160"/>
              <w:left w:type="dxa" w:w="200"/>
              <w:bottom w:type="dxa" w:w="160"/>
              <w:right w:type="dxa" w:w="200"/>
            </w:tcMar>
          </w:tcPr>
          <w:p>
            <w:r>
              <w:rPr>
                <w:rFonts w:ascii="Arial" w:cs="Arial" w:eastAsia="Arial" w:hAnsi="Arial"/>
                <w:b/>
                <w:bCs/>
                <w:color w:val="1B4F72"/>
                <w:sz w:val="22"/>
                <w:szCs w:val="22"/>
              </w:rPr>
              <w:t xml:space="preserve">Brand2Builds</w:t>
            </w:r>
          </w:p>
          <w:p>
            <w:pPr>
              <w:spacing w:after="0"/>
            </w:pPr>
            <w:r>
              <w:rPr>
                <w:rFonts w:ascii="Arial" w:cs="Arial" w:eastAsia="Arial" w:hAnsi="Arial"/>
                <w:i/>
                <w:iCs/>
                <w:sz w:val="22"/>
                <w:szCs w:val="22"/>
              </w:rPr>
              <w:t xml:space="preserve">Brand2Builds provides rapid site feasibility studies — including 36-hour test-fits — to help franchise owners make confident go/no-go decisions before signing anything. We've helped Florida and US franchise brands walk away from the wrong sites and move fast on the right ones.</w:t>
            </w:r>
          </w:p>
        </w:tc>
      </w:tr>
    </w:tbl>
    <w:p>
      <w:r>
        <w:t xml:space="preserve"/>
      </w:r>
    </w:p>
    <w:p>
      <w:pPr>
        <w:pStyle w:val="Heading2"/>
      </w:pPr>
      <w:r>
        <w:rPr>
          <w:rFonts w:ascii="Arial" w:cs="Arial" w:eastAsia="Arial" w:hAnsi="Arial"/>
          <w:b/>
          <w:bCs/>
          <w:sz w:val="28"/>
          <w:szCs w:val="28"/>
        </w:rPr>
        <w:t xml:space="preserve">What a Site Feasibility Study Reveals</w:t>
      </w:r>
    </w:p>
    <w:p>
      <w:pPr>
        <w:spacing w:after="160"/>
      </w:pPr>
      <w:r>
        <w:rPr>
          <w:rFonts w:ascii="Arial" w:cs="Arial" w:eastAsia="Arial" w:hAnsi="Arial"/>
          <w:sz w:val="22"/>
          <w:szCs w:val="22"/>
        </w:rPr>
        <w:t xml:space="preserve">A professional site feasibility study goes beyond a visual inspection and a square footage check. Conducted by a qualified design firm, it produces a structured assessment that covers:</w:t>
      </w:r>
    </w:p>
    <w:p>
      <w:pPr>
        <w:pStyle w:val="ListParagraph"/>
        <w:numPr>
          <w:ilvl w:val="0"/>
          <w:numId w:val="2"/>
        </w:numPr>
        <w:spacing w:after="120"/>
      </w:pPr>
      <w:r>
        <w:rPr>
          <w:rFonts w:ascii="Arial" w:cs="Arial" w:eastAsia="Arial" w:hAnsi="Arial"/>
          <w:sz w:val="22"/>
          <w:szCs w:val="22"/>
        </w:rPr>
        <w:t xml:space="preserve">A test-fit drawing showing how your prototype adapts to the space</w:t>
      </w:r>
    </w:p>
    <w:p>
      <w:pPr>
        <w:pStyle w:val="ListParagraph"/>
        <w:numPr>
          <w:ilvl w:val="0"/>
          <w:numId w:val="2"/>
        </w:numPr>
        <w:spacing w:after="120"/>
      </w:pPr>
      <w:r>
        <w:rPr>
          <w:rFonts w:ascii="Arial" w:cs="Arial" w:eastAsia="Arial" w:hAnsi="Arial"/>
          <w:sz w:val="22"/>
          <w:szCs w:val="22"/>
        </w:rPr>
        <w:t xml:space="preserve">Identification of structural, mechanical, or utility constraints</w:t>
      </w:r>
    </w:p>
    <w:p>
      <w:pPr>
        <w:pStyle w:val="ListParagraph"/>
        <w:numPr>
          <w:ilvl w:val="0"/>
          <w:numId w:val="2"/>
        </w:numPr>
        <w:spacing w:after="120"/>
      </w:pPr>
      <w:r>
        <w:rPr>
          <w:rFonts w:ascii="Arial" w:cs="Arial" w:eastAsia="Arial" w:hAnsi="Arial"/>
          <w:sz w:val="22"/>
          <w:szCs w:val="22"/>
        </w:rPr>
        <w:t xml:space="preserve">High-level construction cost estimate based on site-specific conditions</w:t>
      </w:r>
    </w:p>
    <w:p>
      <w:pPr>
        <w:pStyle w:val="ListParagraph"/>
        <w:numPr>
          <w:ilvl w:val="0"/>
          <w:numId w:val="2"/>
        </w:numPr>
        <w:spacing w:after="120"/>
      </w:pPr>
      <w:r>
        <w:rPr>
          <w:rFonts w:ascii="Arial" w:cs="Arial" w:eastAsia="Arial" w:hAnsi="Arial"/>
          <w:sz w:val="22"/>
          <w:szCs w:val="22"/>
        </w:rPr>
        <w:t xml:space="preserve">Permit risk assessment for the specific jurisdiction</w:t>
      </w:r>
    </w:p>
    <w:p>
      <w:pPr>
        <w:pStyle w:val="ListParagraph"/>
        <w:numPr>
          <w:ilvl w:val="0"/>
          <w:numId w:val="2"/>
        </w:numPr>
        <w:spacing w:after="120"/>
      </w:pPr>
      <w:r>
        <w:rPr>
          <w:rFonts w:ascii="Arial" w:cs="Arial" w:eastAsia="Arial" w:hAnsi="Arial"/>
          <w:sz w:val="22"/>
          <w:szCs w:val="22"/>
        </w:rPr>
        <w:t xml:space="preserve">Operational viability review (customer flow, kitchen efficiency, ADA compliance)</w:t>
      </w:r>
    </w:p>
    <w:p>
      <w:pPr>
        <w:pStyle w:val="ListParagraph"/>
        <w:numPr>
          <w:ilvl w:val="0"/>
          <w:numId w:val="2"/>
        </w:numPr>
        <w:spacing w:after="120"/>
      </w:pPr>
      <w:r>
        <w:rPr>
          <w:rFonts w:ascii="Arial" w:cs="Arial" w:eastAsia="Arial" w:hAnsi="Arial"/>
          <w:sz w:val="22"/>
          <w:szCs w:val="22"/>
        </w:rPr>
        <w:t xml:space="preserve">Summary of risks that should be addressed in lease negotiation</w:t>
      </w:r>
    </w:p>
    <w:p>
      <w:pPr>
        <w:spacing w:after="160"/>
      </w:pPr>
      <w:r>
        <w:rPr>
          <w:rFonts w:ascii="Arial" w:cs="Arial" w:eastAsia="Arial" w:hAnsi="Arial"/>
          <w:sz w:val="22"/>
          <w:szCs w:val="22"/>
        </w:rPr>
        <w:t xml:space="preserve">A well-executed feasibility study is typically completed in 24 to 48 hours for straightforward sites and is one of the highest-ROI investments a franchise operator can make before executing a letter of intent.</w:t>
      </w:r>
    </w:p>
    <w:p>
      <w:r>
        <w:t xml:space="preserve"/>
      </w:r>
    </w:p>
    <w:p>
      <w:pPr>
        <w:pStyle w:val="Heading2"/>
      </w:pPr>
      <w:r>
        <w:rPr>
          <w:rFonts w:ascii="Arial" w:cs="Arial" w:eastAsia="Arial" w:hAnsi="Arial"/>
          <w:b/>
          <w:bCs/>
          <w:sz w:val="28"/>
          <w:szCs w:val="28"/>
        </w:rPr>
        <w:t xml:space="preserve">Why You Should Commission a Feasibility Study Before Your LOI</w:t>
      </w:r>
    </w:p>
    <w:p>
      <w:pPr>
        <w:spacing w:after="160"/>
      </w:pPr>
      <w:r>
        <w:rPr>
          <w:rFonts w:ascii="Arial" w:cs="Arial" w:eastAsia="Arial" w:hAnsi="Arial"/>
          <w:sz w:val="22"/>
          <w:szCs w:val="22"/>
        </w:rPr>
        <w:t xml:space="preserve">The letter of intent is not a risk-free document. In many commercial real estate transactions, an LOI creates negotiating leverage and market positioning that affects what you can reasonably renegotiate after the fact. Commissioning a site feasibility study before your LOI gives you:</w:t>
      </w:r>
    </w:p>
    <w:p>
      <w:pPr>
        <w:pStyle w:val="ListParagraph"/>
        <w:numPr>
          <w:ilvl w:val="0"/>
          <w:numId w:val="2"/>
        </w:numPr>
        <w:spacing w:after="120"/>
      </w:pPr>
      <w:r>
        <w:rPr>
          <w:rFonts w:ascii="Arial" w:cs="Arial" w:eastAsia="Arial" w:hAnsi="Arial"/>
          <w:sz w:val="22"/>
          <w:szCs w:val="22"/>
        </w:rPr>
        <w:t xml:space="preserve">Data to negotiate tenant improvement allowances from a position of knowledge</w:t>
      </w:r>
    </w:p>
    <w:p>
      <w:pPr>
        <w:pStyle w:val="ListParagraph"/>
        <w:numPr>
          <w:ilvl w:val="0"/>
          <w:numId w:val="2"/>
        </w:numPr>
        <w:spacing w:after="120"/>
      </w:pPr>
      <w:r>
        <w:rPr>
          <w:rFonts w:ascii="Arial" w:cs="Arial" w:eastAsia="Arial" w:hAnsi="Arial"/>
          <w:sz w:val="22"/>
          <w:szCs w:val="22"/>
        </w:rPr>
        <w:t xml:space="preserve">Justification for walking away from a site before deeper commitments are made</w:t>
      </w:r>
    </w:p>
    <w:p>
      <w:pPr>
        <w:pStyle w:val="ListParagraph"/>
        <w:numPr>
          <w:ilvl w:val="0"/>
          <w:numId w:val="2"/>
        </w:numPr>
        <w:spacing w:after="120"/>
      </w:pPr>
      <w:r>
        <w:rPr>
          <w:rFonts w:ascii="Arial" w:cs="Arial" w:eastAsia="Arial" w:hAnsi="Arial"/>
          <w:sz w:val="22"/>
          <w:szCs w:val="22"/>
        </w:rPr>
        <w:t xml:space="preserve">A clear scope for the landlord improvement work required before your buildout begins</w:t>
      </w:r>
    </w:p>
    <w:p>
      <w:pPr>
        <w:pStyle w:val="ListParagraph"/>
        <w:numPr>
          <w:ilvl w:val="0"/>
          <w:numId w:val="2"/>
        </w:numPr>
        <w:spacing w:after="120"/>
      </w:pPr>
      <w:r>
        <w:rPr>
          <w:rFonts w:ascii="Arial" w:cs="Arial" w:eastAsia="Arial" w:hAnsi="Arial"/>
          <w:sz w:val="22"/>
          <w:szCs w:val="22"/>
        </w:rPr>
        <w:t xml:space="preserve">Confidence that the site can meet your operational and financial requirements</w:t>
      </w:r>
    </w:p>
    <w:p>
      <w:r>
        <w:t xml:space="preserve"/>
      </w:r>
    </w:p>
    <w:p>
      <w:pPr>
        <w:pStyle w:val="Heading2"/>
      </w:pPr>
      <w:r>
        <w:rPr>
          <w:rFonts w:ascii="Arial" w:cs="Arial" w:eastAsia="Arial" w:hAnsi="Arial"/>
          <w:b/>
          <w:bCs/>
          <w:sz w:val="28"/>
          <w:szCs w:val="28"/>
        </w:rPr>
        <w:t xml:space="preserve">The Future of Franchise Site Evaluation</w:t>
      </w:r>
    </w:p>
    <w:p>
      <w:pPr>
        <w:spacing w:after="160"/>
      </w:pPr>
      <w:r>
        <w:rPr>
          <w:rFonts w:ascii="Arial" w:cs="Arial" w:eastAsia="Arial" w:hAnsi="Arial"/>
          <w:sz w:val="22"/>
          <w:szCs w:val="22"/>
        </w:rPr>
        <w:t xml:space="preserve">As franchise brands become more data-driven, the go/no-go process is becoming faster and more rigorous simultaneously. Rapid test-fit services, digital permit risk tools, and real-time construction cost benchmarking are giving franchise operators the ability to evaluate sites with significantly more precision and speed than was possible even five years ago.</w:t>
      </w:r>
    </w:p>
    <w:p>
      <w:pPr>
        <w:spacing w:after="160"/>
      </w:pPr>
      <w:r>
        <w:rPr>
          <w:rFonts w:ascii="Arial" w:cs="Arial" w:eastAsia="Arial" w:hAnsi="Arial"/>
          <w:sz w:val="22"/>
          <w:szCs w:val="22"/>
        </w:rPr>
        <w:t xml:space="preserve">The most effective operators are treating site feasibility not as a step in the process but as a competitive advantage — using it to move confidently and quickly on the right sites while avoiding the costly mistakes that slow down less disciplined competitors.</w:t>
      </w:r>
    </w:p>
    <w:p>
      <w:r>
        <w:t xml:space="preserve"/>
      </w:r>
    </w:p>
    <w:p>
      <w:pPr>
        <w:pStyle w:val="Heading2"/>
      </w:pPr>
      <w:r>
        <w:rPr>
          <w:rFonts w:ascii="Arial" w:cs="Arial" w:eastAsia="Arial" w:hAnsi="Arial"/>
          <w:b/>
          <w:bCs/>
          <w:sz w:val="28"/>
          <w:szCs w:val="28"/>
        </w:rPr>
        <w:t xml:space="preserve">Conclusion</w:t>
      </w:r>
    </w:p>
    <w:p>
      <w:pPr>
        <w:spacing w:after="160"/>
      </w:pPr>
      <w:r>
        <w:rPr>
          <w:rFonts w:ascii="Arial" w:cs="Arial" w:eastAsia="Arial" w:hAnsi="Arial"/>
          <w:sz w:val="22"/>
          <w:szCs w:val="22"/>
        </w:rPr>
        <w:t xml:space="preserve">Signing a franchise lease without a go/no-go evaluation is a gamble that sophisticated operators no longer take. The criteria are clear: brand fit, layout feasibility, utility readiness, permit risk, cost estimate alignment, and landlord terms. A rapid, professionally executed site feasibility study addresses each of these factors and equips franchise operators with the information they need to make confident decisions — even in competitive markets where speed matters. The goal is not to slow down the process. It is to make sure the speed of your decision is matched by the quality of your information.</w:t>
      </w:r>
    </w:p>
    <w:p>
      <w:r>
        <w:t xml:space="preserve"/>
      </w:r>
    </w:p>
    <w:p>
      <w:pPr>
        <w:pBdr>
          <w:bottom w:val="single" w:color="2E75B6" w:sz="6" w:space="1"/>
        </w:pBdr>
      </w:pPr>
      <w:r>
        <w:t xml:space="preserve"/>
      </w:r>
    </w:p>
    <w:p>
      <w:r>
        <w:t xml:space="preserve"/>
      </w:r>
    </w:p>
    <w:p>
      <w:pPr>
        <w:pStyle w:val="Heading2"/>
      </w:pPr>
      <w:r>
        <w:rPr>
          <w:rFonts w:ascii="Arial" w:cs="Arial" w:eastAsia="Arial" w:hAnsi="Arial"/>
          <w:b/>
          <w:bCs/>
          <w:sz w:val="28"/>
          <w:szCs w:val="28"/>
        </w:rPr>
        <w:t xml:space="preserve">SEO + Content Metadata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Meta Title</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Franchise Site Go/No-Go Decision: What to Evaluate First</w:t>
            </w:r>
          </w:p>
        </w:tc>
      </w:tr>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Meta Description</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Before you sign a franchise lease, evaluate these 6 factors. A site feasibility study can protect your budget and opening timeline from costly mistakes.</w:t>
            </w:r>
          </w:p>
        </w:tc>
      </w:tr>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URL Slug</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/blog/franchise-site-go-no-go-decision</w:t>
            </w:r>
          </w:p>
        </w:tc>
      </w:tr>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Schema Type</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Article / FAQPage</w:t>
            </w:r>
          </w:p>
        </w:tc>
      </w:tr>
      <w:tr>
        <w:tc>
          <w:tcPr>
            <w:tcW w:type="dxa" w:w="22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rFonts w:ascii="Arial" w:cs="Arial" w:eastAsia="Arial" w:hAnsi="Arial"/>
                <w:b/>
                <w:bCs/>
                <w:sz w:val="20"/>
                <w:szCs w:val="20"/>
              </w:rPr>
              <w:t xml:space="preserve">Featured Snippet</w:t>
            </w:r>
          </w:p>
        </w:tc>
        <w:tc>
          <w:tcPr>
            <w:tcW w:type="dxa" w:w="71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sz w:val="20"/>
                <w:szCs w:val="20"/>
              </w:rPr>
              <w:t xml:space="preserve">A franchise site go/no-go decision should evaluate brand fit, layout feasibility, utility readiness, permit risk, construction cost alignment, and landlord terms. A professional site feasibility study — including a test-fit drawing — should be commissioned before signing a letter of intent.</w:t>
            </w:r>
          </w:p>
        </w:tc>
      </w:tr>
    </w:tbl>
    <w:p>
      <w:r>
        <w:t xml:space="preserve"/>
      </w:r>
    </w:p>
    <w:p>
      <w:pPr>
        <w:pStyle w:val="Heading3"/>
      </w:pPr>
      <w:r>
        <w:rPr>
          <w:rFonts w:ascii="Arial" w:cs="Arial" w:eastAsia="Arial" w:hAnsi="Arial"/>
          <w:b/>
          <w:bCs/>
          <w:sz w:val="24"/>
          <w:szCs w:val="24"/>
        </w:rPr>
        <w:t xml:space="preserve">Internal Link Opportunities</w:t>
      </w:r>
    </w:p>
    <w:p>
      <w:pPr>
        <w:pStyle w:val="ListParagraph"/>
        <w:numPr>
          <w:ilvl w:val="0"/>
          <w:numId w:val="2"/>
        </w:numPr>
        <w:spacing w:after="120"/>
      </w:pPr>
      <w:r>
        <w:rPr>
          <w:rFonts w:ascii="Arial" w:cs="Arial" w:eastAsia="Arial" w:hAnsi="Arial"/>
          <w:sz w:val="22"/>
          <w:szCs w:val="22"/>
        </w:rPr>
        <w:t xml:space="preserve">Why Franchise Buildouts Take Longer Than Expected</w:t>
      </w:r>
    </w:p>
    <w:p>
      <w:pPr>
        <w:pStyle w:val="ListParagraph"/>
        <w:numPr>
          <w:ilvl w:val="0"/>
          <w:numId w:val="2"/>
        </w:numPr>
        <w:spacing w:after="120"/>
      </w:pPr>
      <w:r>
        <w:rPr>
          <w:rFonts w:ascii="Arial" w:cs="Arial" w:eastAsia="Arial" w:hAnsi="Arial"/>
          <w:sz w:val="22"/>
          <w:szCs w:val="22"/>
        </w:rPr>
        <w:t xml:space="preserve">How to Choose a Design Firm for Franchise Expansion</w:t>
      </w:r>
    </w:p>
    <w:p>
      <w:pPr>
        <w:pStyle w:val="ListParagraph"/>
        <w:numPr>
          <w:ilvl w:val="0"/>
          <w:numId w:val="2"/>
        </w:numPr>
        <w:spacing w:after="120"/>
      </w:pPr>
      <w:r>
        <w:rPr>
          <w:rFonts w:ascii="Arial" w:cs="Arial" w:eastAsia="Arial" w:hAnsi="Arial"/>
          <w:sz w:val="22"/>
          <w:szCs w:val="22"/>
        </w:rPr>
        <w:t xml:space="preserve">Franchise Permits by State: Which Markets Move Fast</w:t>
      </w:r>
    </w:p>
    <w:p>
      <w:pPr>
        <w:pStyle w:val="ListParagraph"/>
        <w:numPr>
          <w:ilvl w:val="0"/>
          <w:numId w:val="2"/>
        </w:numPr>
        <w:spacing w:after="120"/>
      </w:pPr>
      <w:r>
        <w:rPr>
          <w:rFonts w:ascii="Arial" w:cs="Arial" w:eastAsia="Arial" w:hAnsi="Arial"/>
          <w:sz w:val="22"/>
          <w:szCs w:val="22"/>
        </w:rPr>
        <w:t xml:space="preserve">What Is a Test-Fit Drawing and When Do You Need One?</w:t>
      </w:r>
    </w:p>
    <w:p>
      <w:pPr>
        <w:pStyle w:val="ListParagraph"/>
        <w:numPr>
          <w:ilvl w:val="0"/>
          <w:numId w:val="2"/>
        </w:numPr>
        <w:spacing w:after="120"/>
      </w:pPr>
      <w:r>
        <w:rPr>
          <w:rFonts w:ascii="Arial" w:cs="Arial" w:eastAsia="Arial" w:hAnsi="Arial"/>
          <w:sz w:val="22"/>
          <w:szCs w:val="22"/>
        </w:rPr>
        <w:t xml:space="preserve">Brand2Builds Site Feasibility Services</w:t>
      </w:r>
    </w:p>
    <w:p>
      <w:r>
        <w:t xml:space="preserve"/>
      </w:r>
    </w:p>
    <w:p>
      <w:pPr>
        <w:pStyle w:val="Heading3"/>
      </w:pPr>
      <w:r>
        <w:rPr>
          <w:rFonts w:ascii="Arial" w:cs="Arial" w:eastAsia="Arial" w:hAnsi="Arial"/>
          <w:b/>
          <w:bCs/>
          <w:sz w:val="24"/>
          <w:szCs w:val="24"/>
        </w:rPr>
        <w:t xml:space="preserve">CTA Variations</w:t>
      </w:r>
    </w:p>
    <w:p>
      <w:pPr>
        <w:pStyle w:val="ListParagraph"/>
        <w:numPr>
          <w:ilvl w:val="0"/>
          <w:numId w:val="3"/>
        </w:numPr>
        <w:spacing w:after="120"/>
      </w:pPr>
      <w:r>
        <w:rPr>
          <w:rFonts w:ascii="Arial" w:cs="Arial" w:eastAsia="Arial" w:hAnsi="Arial"/>
          <w:sz w:val="22"/>
          <w:szCs w:val="22"/>
        </w:rPr>
        <w:t xml:space="preserve">Request a 36-hour site feasibility study from Brand2Builds before your next lease decision.</w:t>
      </w:r>
    </w:p>
    <w:p>
      <w:pPr>
        <w:pStyle w:val="ListParagraph"/>
        <w:numPr>
          <w:ilvl w:val="0"/>
          <w:numId w:val="3"/>
        </w:numPr>
        <w:spacing w:after="120"/>
      </w:pPr>
      <w:r>
        <w:rPr>
          <w:rFonts w:ascii="Arial" w:cs="Arial" w:eastAsia="Arial" w:hAnsi="Arial"/>
          <w:sz w:val="22"/>
          <w:szCs w:val="22"/>
        </w:rPr>
        <w:t xml:space="preserve">Talk to a franchise design specialist about your current site evaluation.</w:t>
      </w:r>
    </w:p>
    <w:p>
      <w:pPr>
        <w:pStyle w:val="ListParagraph"/>
        <w:numPr>
          <w:ilvl w:val="0"/>
          <w:numId w:val="3"/>
        </w:numPr>
        <w:spacing w:after="120"/>
      </w:pPr>
      <w:r>
        <w:rPr>
          <w:rFonts w:ascii="Arial" w:cs="Arial" w:eastAsia="Arial" w:hAnsi="Arial"/>
          <w:sz w:val="22"/>
          <w:szCs w:val="22"/>
        </w:rPr>
        <w:t xml:space="preserve">Download the Brand2Builds franchise site go/no-go checklist.</w:t>
      </w:r>
    </w:p>
    <w:p>
      <w:r>
        <w:t xml:space="preserve"/>
      </w:r>
    </w:p>
    <w:p>
      <w:pPr>
        <w:pStyle w:val="Heading3"/>
      </w:pPr>
      <w:r>
        <w:rPr>
          <w:rFonts w:ascii="Arial" w:cs="Arial" w:eastAsia="Arial" w:hAnsi="Arial"/>
          <w:b/>
          <w:bCs/>
          <w:sz w:val="24"/>
          <w:szCs w:val="24"/>
        </w:rPr>
        <w:t xml:space="preserve">FAQ Questions for SEO</w:t>
      </w:r>
    </w:p>
    <w:p>
      <w:pPr>
        <w:pStyle w:val="ListParagraph"/>
        <w:numPr>
          <w:ilvl w:val="0"/>
          <w:numId w:val="2"/>
        </w:numPr>
        <w:spacing w:after="120"/>
      </w:pPr>
      <w:r>
        <w:rPr>
          <w:rFonts w:ascii="Arial" w:cs="Arial" w:eastAsia="Arial" w:hAnsi="Arial"/>
          <w:sz w:val="22"/>
          <w:szCs w:val="22"/>
        </w:rPr>
        <w:t xml:space="preserve">What is a franchise site feasibility study and when should I get one?</w:t>
      </w:r>
    </w:p>
    <w:p>
      <w:pPr>
        <w:pStyle w:val="ListParagraph"/>
        <w:numPr>
          <w:ilvl w:val="0"/>
          <w:numId w:val="2"/>
        </w:numPr>
        <w:spacing w:after="120"/>
      </w:pPr>
      <w:r>
        <w:rPr>
          <w:rFonts w:ascii="Arial" w:cs="Arial" w:eastAsia="Arial" w:hAnsi="Arial"/>
          <w:sz w:val="22"/>
          <w:szCs w:val="22"/>
        </w:rPr>
        <w:t xml:space="preserve">What should I evaluate before signing a franchise lease?</w:t>
      </w:r>
    </w:p>
    <w:p>
      <w:pPr>
        <w:pStyle w:val="ListParagraph"/>
        <w:numPr>
          <w:ilvl w:val="0"/>
          <w:numId w:val="2"/>
        </w:numPr>
        <w:spacing w:after="120"/>
      </w:pPr>
      <w:r>
        <w:rPr>
          <w:rFonts w:ascii="Arial" w:cs="Arial" w:eastAsia="Arial" w:hAnsi="Arial"/>
          <w:sz w:val="22"/>
          <w:szCs w:val="22"/>
        </w:rPr>
        <w:t xml:space="preserve">How do I know if a franchise site is worth moving forward on?</w:t>
      </w:r>
    </w:p>
    <w:p>
      <w:r>
        <w:t xml:space="preserve"/>
      </w:r>
    </w:p>
    <w:p>
      <w:pPr>
        <w:pStyle w:val="Heading3"/>
      </w:pPr>
      <w:r>
        <w:rPr>
          <w:rFonts w:ascii="Arial" w:cs="Arial" w:eastAsia="Arial" w:hAnsi="Arial"/>
          <w:b/>
          <w:bCs/>
          <w:sz w:val="24"/>
          <w:szCs w:val="24"/>
        </w:rPr>
        <w:t xml:space="preserve">Suggested Image Ideas</w:t>
      </w:r>
    </w:p>
    <w:p>
      <w:pPr>
        <w:pStyle w:val="ListParagraph"/>
        <w:numPr>
          <w:ilvl w:val="0"/>
          <w:numId w:val="2"/>
        </w:numPr>
        <w:spacing w:after="120"/>
      </w:pPr>
      <w:r>
        <w:rPr>
          <w:rFonts w:ascii="Arial" w:cs="Arial" w:eastAsia="Arial" w:hAnsi="Arial"/>
          <w:sz w:val="22"/>
          <w:szCs w:val="22"/>
        </w:rPr>
        <w:t xml:space="preserve">Go/No-Go decision framework graphic with 6 evaluation criteria</w:t>
      </w:r>
    </w:p>
    <w:p>
      <w:pPr>
        <w:pStyle w:val="ListParagraph"/>
        <w:numPr>
          <w:ilvl w:val="0"/>
          <w:numId w:val="2"/>
        </w:numPr>
        <w:spacing w:after="120"/>
      </w:pPr>
      <w:r>
        <w:rPr>
          <w:rFonts w:ascii="Arial" w:cs="Arial" w:eastAsia="Arial" w:hAnsi="Arial"/>
          <w:sz w:val="22"/>
          <w:szCs w:val="22"/>
        </w:rPr>
        <w:t xml:space="preserve">Sample test-fit drawing (branded/anonymized example)</w:t>
      </w:r>
    </w:p>
    <w:p>
      <w:pPr>
        <w:pStyle w:val="ListParagraph"/>
        <w:numPr>
          <w:ilvl w:val="0"/>
          <w:numId w:val="2"/>
        </w:numPr>
        <w:spacing w:after="120"/>
      </w:pPr>
      <w:r>
        <w:rPr>
          <w:rFonts w:ascii="Arial" w:cs="Arial" w:eastAsia="Arial" w:hAnsi="Arial"/>
          <w:sz w:val="22"/>
          <w:szCs w:val="22"/>
        </w:rPr>
        <w:t xml:space="preserve">Before/after visual: site evaluation process vs. rushing to LOI</w:t>
      </w:r>
    </w:p>
    <w:p>
      <w:r>
        <w:t xml:space="preserve"/>
      </w:r>
    </w:p>
    <w:p>
      <w:pPr>
        <w:pStyle w:val="Heading3"/>
      </w:pPr>
      <w:r>
        <w:rPr>
          <w:rFonts w:ascii="Arial" w:cs="Arial" w:eastAsia="Arial" w:hAnsi="Arial"/>
          <w:b/>
          <w:bCs/>
          <w:sz w:val="24"/>
          <w:szCs w:val="24"/>
        </w:rPr>
        <w:t xml:space="preserve">LinkedIn Post Version</w:t>
      </w:r>
    </w:p>
    <w:p>
      <w:pPr>
        <w:spacing w:after="160"/>
      </w:pPr>
      <w:r>
        <w:rPr>
          <w:rFonts w:ascii="Arial" w:cs="Arial" w:eastAsia="Arial" w:hAnsi="Arial"/>
          <w:i/>
          <w:iCs/>
          <w:sz w:val="22"/>
          <w:szCs w:val="22"/>
        </w:rPr>
        <w:t xml:space="preserve">In competitive markets, the pressure to move quickly on a franchise site can push operators past the due diligence that actually matters.
Before you sign anything — or even submit an LOI — there are 6 things your team should evaluate.
A 24-hour site feasibility study can make the difference between a great location and a very expensive mistake.
New article: The Franchise Site Go/No-Go Decision [link]
#FranchiseDevelopment #FranchiseSite #FranchiseExpansion #CommercialRealEstate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360"/>
      <w:outlineLvl w:val="0"/>
    </w:pPr>
    <w:rPr>
      <w:rFonts w:ascii="Arial" w:cs="Arial" w:eastAsia="Arial" w:hAnsi="Arial"/>
      <w:b/>
      <w:bCs/>
      <w:color w:val="1B4F72"/>
      <w:sz w:val="36"/>
      <w:szCs w:val="36"/>
    </w:rPr>
  </w:style>
  <w:style w:type="paragraph" w:styleId="Heading2">
    <w:name w:val="Heading 2"/>
    <w:basedOn w:val="Normal"/>
    <w:next w:val="Normal"/>
    <w:qFormat/>
    <w:pPr>
      <w:spacing w:after="160" w:before="280"/>
      <w:outlineLvl w:val="1"/>
    </w:pPr>
    <w:rPr>
      <w:rFonts w:ascii="Arial" w:cs="Arial" w:eastAsia="Arial" w:hAnsi="Arial"/>
      <w:b/>
      <w:bCs/>
      <w:color w:val="2E75B6"/>
      <w:sz w:val="28"/>
      <w:szCs w:val="28"/>
    </w:rPr>
  </w:style>
  <w:style w:type="paragraph" w:styleId="Heading3">
    <w:name w:val="Heading 3"/>
    <w:basedOn w:val="Normal"/>
    <w:next w:val="Normal"/>
    <w:qFormat/>
    <w:pPr>
      <w:spacing w:after="120" w:before="200"/>
      <w:outlineLvl w:val="2"/>
    </w:pPr>
    <w:rPr>
      <w:rFonts w:ascii="Arial" w:cs="Arial" w:eastAsia="Arial" w:hAnsi="Arial"/>
      <w:b/>
      <w:bCs/>
      <w:color w:val="1A527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2026-05-19T14:40:05.944Z</dcterms:created>
  <dcterms:modified xsi:type="dcterms:W3CDTF">2026-05-19T14:40:05.944Z</dcterms:modified>
</cp:coreProperties>
</file>

<file path=docProps/custom.xml><?xml version="1.0" encoding="utf-8"?>
<Properties xmlns="http://schemas.openxmlformats.org/officeDocument/2006/custom-properties" xmlns:vt="http://schemas.openxmlformats.org/officeDocument/2006/docPropsVTypes"/>
</file>