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500"/>
        <w:tblBorders>
          <w:top w:val="single" w:color="D9622B" w:sz="4"/>
          <w:left w:val="single" w:color="D9622B" w:sz="4"/>
          <w:bottom w:val="single" w:color="D9622B" w:sz="4"/>
          <w:right w:val="single" w:color="D9622B" w:sz="4"/>
          <w:insideH w:val="single" w:color="DADFE3" w:sz="2"/>
          <w:insideV w:val="single" w:color="DADFE3" w:sz="2"/>
        </w:tblBorders>
      </w:tblPr>
      <w:tblGrid>
        <w:gridCol w:w="2200"/>
        <w:gridCol w:w="7300"/>
      </w:tblGrid>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Meta Title</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How to Budget a Franchise Remodel Accurately</w:t>
            </w:r>
          </w:p>
        </w:tc>
      </w:tr>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Meta Description</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Franchise remodels are especially prone to budget surprises. Here is how to build a budget that reflects real scope, not a generic cost-per-square-foot estimate.</w:t>
            </w:r>
          </w:p>
        </w:tc>
      </w:tr>
      <w:tr>
        <w:tc>
          <w:tcPr>
            <w:tcW w:type="dxa" w:w="2200"/>
            <w:shd w:fill="F4F5F6" w:color="auto" w:val="clear"/>
            <w:tcMar>
              <w:top w:type="dxa" w:w="100"/>
              <w:left w:type="dxa" w:w="150"/>
              <w:bottom w:type="dxa" w:w="100"/>
              <w:right w:type="dxa" w:w="150"/>
            </w:tcMar>
          </w:tcPr>
          <w:p>
            <w:r>
              <w:rPr>
                <w:rFonts w:ascii="Calibri" w:cs="Calibri" w:eastAsia="Calibri" w:hAnsi="Calibri"/>
                <w:b/>
                <w:bCs/>
                <w:color w:val="1E3A5F"/>
                <w:sz w:val="18"/>
                <w:szCs w:val="18"/>
              </w:rPr>
              <w:t xml:space="preserve">URL Slug</w:t>
            </w:r>
          </w:p>
        </w:tc>
        <w:tc>
          <w:tcPr>
            <w:tcW w:type="dxa" w:w="7300"/>
            <w:shd w:fill="F4F5F6" w:color="auto" w:val="clear"/>
            <w:tcMar>
              <w:top w:type="dxa" w:w="100"/>
              <w:left w:type="dxa" w:w="150"/>
              <w:bottom w:type="dxa" w:w="100"/>
              <w:right w:type="dxa" w:w="150"/>
            </w:tcMar>
          </w:tcPr>
          <w:p>
            <w:r>
              <w:rPr>
                <w:rFonts w:ascii="Calibri" w:cs="Calibri" w:eastAsia="Calibri" w:hAnsi="Calibri"/>
                <w:color w:val="333333"/>
                <w:sz w:val="18"/>
                <w:szCs w:val="18"/>
              </w:rPr>
              <w:t xml:space="preserve">how-to-budget-a-franchise-remodel</w:t>
            </w:r>
          </w:p>
        </w:tc>
      </w:tr>
    </w:tbl>
    <w:p>
      <w:pPr>
        <w:spacing w:after="200"/>
      </w:pPr>
    </w:p>
    <w:p>
      <w:pPr>
        <w:pStyle w:val="Heading1"/>
        <w:spacing w:after="200"/>
      </w:pPr>
      <w:r>
        <w:rPr>
          <w:rFonts w:ascii="Calibri" w:cs="Calibri" w:eastAsia="Calibri" w:hAnsi="Calibri"/>
          <w:b/>
          <w:bCs/>
          <w:color w:val="1E3A5F"/>
          <w:sz w:val="40"/>
          <w:szCs w:val="40"/>
        </w:rPr>
        <w:t xml:space="preserve">How to Budget a Franchise Remodel: Avoid Costly Surprises at Closeout</w:t>
      </w:r>
    </w:p>
    <w:p>
      <w:pPr>
        <w:pStyle w:val="Heading2"/>
        <w:spacing w:after="160" w:before="320"/>
      </w:pPr>
      <w:r>
        <w:rPr>
          <w:rFonts w:ascii="Calibri" w:cs="Calibri" w:eastAsia="Calibri" w:hAnsi="Calibri"/>
          <w:b/>
          <w:bCs/>
          <w:color w:val="1E3A5F"/>
          <w:sz w:val="28"/>
          <w:szCs w:val="28"/>
        </w:rPr>
        <w:t xml:space="preserve">Why a Generic Cost-Per-Square-Foot Estimate Falls Short</w:t>
      </w:r>
    </w:p>
    <w:p>
      <w:pPr>
        <w:spacing w:after="180" w:line="300"/>
      </w:pPr>
      <w:r>
        <w:rPr>
          <w:rFonts w:ascii="Calibri" w:cs="Calibri" w:eastAsia="Calibri" w:hAnsi="Calibri"/>
          <w:i w:val="false"/>
          <w:iCs w:val="false"/>
          <w:color w:val="333333"/>
          <w:sz w:val="22"/>
          <w:szCs w:val="22"/>
        </w:rPr>
        <w:t>A reliable franchise remodel budget reflects the actual conditions and scope of your specific project, not a generic cost-per-square-foot number pulled from an industry average. Franchise remodels are particularly vulnerable to budget surprises because existing conditions are not always fully documented before the budget is set, brand standards may require upgrades beyond what the space currently needs, local codes can trigger additional work once construction starts, and FF&amp;E, materials, and specialty installations often represent a larger share of total investment than owners initially expect. A cost-per-square-foot number can be a useful starting reference for a very early conversation, but it was calculated from a different building, a different scope, and a different set of brand requirements than the one in front of you. Treating it as a budget rather than a rough benchmark is where many remodel projects start off on the wrong footing.</w:t>
      </w:r>
    </w:p>
    <w:p>
      <w:pPr>
        <w:pBdr>
          <w:bottom w:val="single" w:color="D9622B" w:sz="6" w:space="1"/>
        </w:pBdr>
        <w:spacing w:after="200" w:before="200"/>
      </w:pPr>
      <w:r>
        <w:t xml:space="preserve"/>
      </w:r>
    </w:p>
    <w:p>
      <w:pPr>
        <w:pStyle w:val="Heading2"/>
        <w:spacing w:after="160" w:before="320"/>
      </w:pPr>
      <w:r>
        <w:rPr>
          <w:rFonts w:ascii="Calibri" w:cs="Calibri" w:eastAsia="Calibri" w:hAnsi="Calibri"/>
          <w:b/>
          <w:bCs/>
          <w:color w:val="1E3A5F"/>
          <w:sz w:val="28"/>
          <w:szCs w:val="28"/>
        </w:rPr>
        <w:t xml:space="preserve">The Components of a Reliable Remodel Budget</w:t>
      </w:r>
    </w:p>
    <w:p>
      <w:pPr>
        <w:pStyle w:val="Heading3"/>
        <w:spacing w:after="120" w:before="220"/>
      </w:pPr>
      <w:r>
        <w:rPr>
          <w:rFonts w:ascii="Calibri" w:cs="Calibri" w:eastAsia="Calibri" w:hAnsi="Calibri"/>
          <w:b/>
          <w:bCs/>
          <w:color w:val="1E3A5F"/>
          <w:sz w:val="24"/>
          <w:szCs w:val="24"/>
        </w:rPr>
        <w:t xml:space="preserve">Why These Categories Are Listed Separately</w:t>
      </w:r>
    </w:p>
    <w:p>
      <w:pPr>
        <w:spacing w:after="180" w:line="300"/>
      </w:pPr>
      <w:r>
        <w:rPr>
          <w:rFonts w:ascii="Calibri" w:cs="Calibri" w:eastAsia="Calibri" w:hAnsi="Calibri"/>
          <w:i w:val="false"/>
          <w:iCs w:val="false"/>
          <w:color w:val="333333"/>
          <w:sz w:val="22"/>
          <w:szCs w:val="22"/>
        </w:rPr>
        <w:t xml:space="preserve">Grouping every cost into a single lump sum construction number hides where the actual risk sits. Construction costs are the most visible line item, but design fees, permits, FF&amp;E, allowances, site-specific work, and contingency each behave differently and carry different levels of certainty. A budget broken out this way makes it possible to see, at a glance, which numbers are locked in and which are still moving, rather than discovering the difference only when the final invoice arrives.</w:t>
      </w:r>
    </w:p>
    <w:tbl>
      <w:tblPr>
        <w:tblW w:type="dxa" w:w="9500"/>
        <w:tblBorders>
          <w:top w:val="single" w:color="DADFE3" w:sz="2"/>
          <w:left w:val="single" w:color="DADFE3" w:sz="2"/>
          <w:bottom w:val="single" w:color="DADFE3" w:sz="2"/>
          <w:right w:val="single" w:color="DADFE3" w:sz="2"/>
          <w:insideH w:val="single" w:color="DADFE3" w:sz="2"/>
          <w:insideV w:val="single" w:color="DADFE3" w:sz="2"/>
        </w:tblBorders>
      </w:tblPr>
      <w:tblGrid>
        <w:gridCol w:w="3000"/>
        <w:gridCol w:w="6500"/>
      </w:tblGrid>
      <w:tr>
        <w:trPr>
          <w:tblHeader/>
        </w:trPr>
        <w:tc>
          <w:tcPr>
            <w:tcW w:type="dxa" w:w="30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Component</w:t>
            </w:r>
          </w:p>
        </w:tc>
        <w:tc>
          <w:tcPr>
            <w:tcW w:type="dxa" w:w="65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What It Covers</w:t>
            </w:r>
          </w:p>
        </w:tc>
      </w:tr>
      <w:tr>
        <w:tc>
          <w:tcPr>
            <w:tcW w:type="dxa" w:w="30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Construction costs</w:t>
            </w:r>
          </w:p>
        </w:tc>
        <w:tc>
          <w:tcPr>
            <w:tcW w:type="dxa" w:w="6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General contractor scope, labor, and materials for the physical build</w:t>
            </w:r>
          </w:p>
        </w:tc>
      </w:tr>
      <w:tr>
        <w:tc>
          <w:tcPr>
            <w:tcW w:type="dxa" w:w="30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Design and professional fees</w:t>
            </w:r>
          </w:p>
        </w:tc>
        <w:tc>
          <w:tcPr>
            <w:tcW w:type="dxa" w:w="65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Architecture, engineering, and any specialty consultant fees</w:t>
            </w:r>
          </w:p>
        </w:tc>
      </w:tr>
      <w:tr>
        <w:tc>
          <w:tcPr>
            <w:tcW w:type="dxa" w:w="30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Permits</w:t>
            </w:r>
          </w:p>
        </w:tc>
        <w:tc>
          <w:tcPr>
            <w:tcW w:type="dxa" w:w="6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Application, review, and inspection fees, which vary by jurisdiction</w:t>
            </w:r>
          </w:p>
        </w:tc>
      </w:tr>
      <w:tr>
        <w:tc>
          <w:tcPr>
            <w:tcW w:type="dxa" w:w="30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FF&amp;E</w:t>
            </w:r>
          </w:p>
        </w:tc>
        <w:tc>
          <w:tcPr>
            <w:tcW w:type="dxa" w:w="65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Furniture, fixtures, and equipment specific to the brand and concept</w:t>
            </w:r>
          </w:p>
        </w:tc>
      </w:tr>
      <w:tr>
        <w:tc>
          <w:tcPr>
            <w:tcW w:type="dxa" w:w="30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Allowances</w:t>
            </w:r>
          </w:p>
        </w:tc>
        <w:tc>
          <w:tcPr>
            <w:tcW w:type="dxa" w:w="6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Budgeted placeholders for selections not yet finalized</w:t>
            </w:r>
          </w:p>
        </w:tc>
      </w:tr>
      <w:tr>
        <w:tc>
          <w:tcPr>
            <w:tcW w:type="dxa" w:w="30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Site-specific work</w:t>
            </w:r>
          </w:p>
        </w:tc>
        <w:tc>
          <w:tcPr>
            <w:tcW w:type="dxa" w:w="65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Costs unique to this location's existing conditions</w:t>
            </w:r>
          </w:p>
        </w:tc>
      </w:tr>
      <w:tr>
        <w:tc>
          <w:tcPr>
            <w:tcW w:type="dxa" w:w="30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Contingency</w:t>
            </w:r>
          </w:p>
        </w:tc>
        <w:tc>
          <w:tcPr>
            <w:tcW w:type="dxa" w:w="6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Reserved funds for unforeseen conditions and changes during construction</w:t>
            </w:r>
          </w:p>
        </w:tc>
      </w:tr>
    </w:tbl>
    <w:p>
      <w:pPr>
        <w:spacing w:after="200"/>
      </w:pPr>
    </w:p>
    <w:p>
      <w:pPr>
        <w:pStyle w:val="Heading3"/>
        <w:spacing w:after="120" w:before="220"/>
      </w:pPr>
      <w:r>
        <w:rPr>
          <w:rFonts w:ascii="Calibri" w:cs="Calibri" w:eastAsia="Calibri" w:hAnsi="Calibri"/>
          <w:b/>
          <w:bCs/>
          <w:color w:val="1E3A5F"/>
          <w:sz w:val="24"/>
          <w:szCs w:val="24"/>
        </w:rPr>
        <w:t xml:space="preserve">Fixed Cost vs. Allowance: Why the Distinction Matters</w:t>
      </w:r>
    </w:p>
    <w:p>
      <w:pPr>
        <w:spacing w:after="180" w:line="300"/>
      </w:pPr>
      <w:r>
        <w:rPr>
          <w:rFonts w:ascii="Calibri" w:cs="Calibri" w:eastAsia="Calibri" w:hAnsi="Calibri"/>
          <w:i w:val="false"/>
          <w:iCs w:val="false"/>
          <w:color w:val="333333"/>
          <w:sz w:val="22"/>
          <w:szCs w:val="22"/>
        </w:rPr>
        <w:t>A fixed cost is a firm number based on a finalized selection or scope. An allowance is a placeholder budgeted for a decision that has not been finalized yet, such as a flooring selection or a piece of equipment still being sourced. A budget built mostly on fixed costs is genuinely more complete than one built mostly on allowances, even if the total dollar figure looks identical on paper. Before approving a project budget, it is worth asking what percentage is fixed versus allowance, since a budget that looks fully baked can actually still have significant uncertainty built into it. A useful rule of thumb: a budget carrying more than twenty to thirty percent as allowances this close to construction start deserves a second look, not because allowances are inherently a problem, but because that much remaining uncertainty this late in the process usually means design decisions are still open that should have been closed already.</w:t>
      </w:r>
    </w:p>
    <w:p>
      <w:pPr>
        <w:pStyle w:val="Heading2"/>
        <w:spacing w:after="160" w:before="320"/>
      </w:pPr>
      <w:r>
        <w:rPr>
          <w:rFonts w:ascii="Calibri" w:cs="Calibri" w:eastAsia="Calibri" w:hAnsi="Calibri"/>
          <w:b/>
          <w:bCs/>
          <w:color w:val="1E3A5F"/>
          <w:sz w:val="28"/>
          <w:szCs w:val="28"/>
        </w:rPr>
        <w:t xml:space="preserve">Costs That Frequently Appear Later in the Project</w:t>
      </w:r>
    </w:p>
    <w:p>
      <w:pPr>
        <w:spacing w:after="180" w:line="300"/>
      </w:pPr>
      <w:r>
        <w:rPr>
          <w:rFonts w:ascii="Calibri" w:cs="Calibri" w:eastAsia="Calibri" w:hAnsi="Calibri"/>
          <w:i w:val="false"/>
          <w:iCs w:val="false"/>
          <w:color w:val="333333"/>
          <w:sz w:val="22"/>
          <w:szCs w:val="22"/>
        </w:rPr>
        <w:t>The costs that derail a remodel budget rarely show up in the original estimate. By the time they surface, the owner is often choosing between an unplanned change order and leaving a code or condition issue unresolved, which is rarely a real choice at all. They surface once construction opens up the space:</w:t>
      </w:r>
    </w:p>
    <w:p>
      <w:pPr>
        <w:pStyle w:val="ListParagraph"/>
        <w:numPr>
          <w:ilvl w:val="0"/>
          <w:numId w:val="2"/>
        </w:numPr>
        <w:spacing w:after="100"/>
      </w:pPr>
      <w:r>
        <w:rPr>
          <w:rFonts w:ascii="Calibri" w:cs="Calibri" w:eastAsia="Calibri" w:hAnsi="Calibri"/>
          <w:color w:val="333333"/>
          <w:sz w:val="22"/>
          <w:szCs w:val="22"/>
        </w:rPr>
        <w:t>Unforeseen existing conditions, discovered once walls, ceilings, or flooring are opened up, which is why an existing-conditions survey done before the budget is set is one of the highest-value steps in the entire process</w:t>
      </w:r>
    </w:p>
    <w:p>
      <w:pPr>
        <w:pStyle w:val="ListParagraph"/>
        <w:numPr>
          <w:ilvl w:val="0"/>
          <w:numId w:val="2"/>
        </w:numPr>
        <w:spacing w:after="100"/>
      </w:pPr>
      <w:r>
        <w:rPr>
          <w:rFonts w:ascii="Calibri" w:cs="Calibri" w:eastAsia="Calibri" w:hAnsi="Calibri"/>
          <w:color w:val="333333"/>
          <w:sz w:val="22"/>
          <w:szCs w:val="22"/>
        </w:rPr>
        <w:t xml:space="preserve">Electrical or plumbing upgrades required to meet current code or support new equipment</w:t>
      </w:r>
    </w:p>
    <w:p>
      <w:pPr>
        <w:pStyle w:val="ListParagraph"/>
        <w:numPr>
          <w:ilvl w:val="0"/>
          <w:numId w:val="2"/>
        </w:numPr>
        <w:spacing w:after="100"/>
      </w:pPr>
      <w:r>
        <w:rPr>
          <w:rFonts w:ascii="Calibri" w:cs="Calibri" w:eastAsia="Calibri" w:hAnsi="Calibri"/>
          <w:color w:val="333333"/>
          <w:sz w:val="22"/>
          <w:szCs w:val="22"/>
        </w:rPr>
        <w:t xml:space="preserve">Utility requirements, including capacity upgrades that were not apparent from an initial site visit</w:t>
      </w:r>
    </w:p>
    <w:p>
      <w:pPr>
        <w:pStyle w:val="ListParagraph"/>
        <w:numPr>
          <w:ilvl w:val="0"/>
          <w:numId w:val="2"/>
        </w:numPr>
        <w:spacing w:after="100"/>
      </w:pPr>
      <w:r>
        <w:rPr>
          <w:rFonts w:ascii="Calibri" w:cs="Calibri" w:eastAsia="Calibri" w:hAnsi="Calibri"/>
          <w:color w:val="333333"/>
          <w:sz w:val="22"/>
          <w:szCs w:val="22"/>
        </w:rPr>
        <w:t xml:space="preserve">Code-driven modifications triggered once the full scope of work is reviewed by the jurisdiction</w:t>
      </w:r>
    </w:p>
    <w:p>
      <w:pPr>
        <w:pStyle w:val="ListParagraph"/>
        <w:numPr>
          <w:ilvl w:val="0"/>
          <w:numId w:val="2"/>
        </w:numPr>
        <w:spacing w:after="100"/>
      </w:pPr>
      <w:r>
        <w:rPr>
          <w:rFonts w:ascii="Calibri" w:cs="Calibri" w:eastAsia="Calibri" w:hAnsi="Calibri"/>
          <w:color w:val="333333"/>
          <w:sz w:val="22"/>
          <w:szCs w:val="22"/>
        </w:rPr>
        <w:t>Change orders resulting from field conditions or client-requested adjustments, and separating the two categories on a change order log makes it easier to see which overages were avoidable and which were not</w:t>
      </w:r>
    </w:p>
    <w:p>
      <w:pPr>
        <w:pStyle w:val="ListParagraph"/>
        <w:numPr>
          <w:ilvl w:val="0"/>
          <w:numId w:val="2"/>
        </w:numPr>
        <w:spacing w:after="100"/>
      </w:pPr>
      <w:r>
        <w:rPr>
          <w:rFonts w:ascii="Calibri" w:cs="Calibri" w:eastAsia="Calibri" w:hAnsi="Calibri"/>
          <w:color w:val="333333"/>
          <w:sz w:val="22"/>
          <w:szCs w:val="22"/>
        </w:rPr>
        <w:t xml:space="preserve">Equipment changes, including substitutions required by lead time or availability</w:t>
      </w:r>
    </w:p>
    <w:p>
      <w:pPr>
        <w:pStyle w:val="ListParagraph"/>
        <w:numPr>
          <w:ilvl w:val="0"/>
          <w:numId w:val="2"/>
        </w:numPr>
        <w:spacing w:after="100"/>
      </w:pPr>
      <w:r>
        <w:rPr>
          <w:rFonts w:ascii="Calibri" w:cs="Calibri" w:eastAsia="Calibri" w:hAnsi="Calibri"/>
          <w:color w:val="333333"/>
          <w:sz w:val="22"/>
          <w:szCs w:val="22"/>
        </w:rPr>
        <w:t xml:space="preserve">Price fluctuations on long-lead items ordered months after the original budget was set</w:t>
      </w:r>
    </w:p>
    <w:p>
      <w:pPr>
        <w:pStyle w:val="Heading3"/>
        <w:spacing w:after="120" w:before="220"/>
      </w:pPr>
      <w:r>
        <w:rPr>
          <w:rFonts w:ascii="Calibri" w:cs="Calibri" w:eastAsia="Calibri" w:hAnsi="Calibri"/>
          <w:b/>
          <w:bCs/>
          <w:color w:val="1E3A5F"/>
          <w:sz w:val="24"/>
          <w:szCs w:val="24"/>
        </w:rPr>
        <w:t xml:space="preserve">Why This List Matters More for Franchise Remodels Specifically</w:t>
      </w:r>
    </w:p>
    <w:p>
      <w:pPr>
        <w:spacing w:after="180" w:line="300"/>
      </w:pPr>
      <w:r>
        <w:rPr>
          <w:rFonts w:ascii="Calibri" w:cs="Calibri" w:eastAsia="Calibri" w:hAnsi="Calibri"/>
          <w:i w:val="false"/>
          <w:iCs w:val="false"/>
          <w:color w:val="333333"/>
          <w:sz w:val="22"/>
          <w:szCs w:val="22"/>
        </w:rPr>
        <w:t xml:space="preserve">Ground-up new construction starts from a clean set of assumptions, since there is no existing building to reveal surprises. A remodel does not have that advantage. Every wall opened, every piece of existing equipment inspected, and every utility connection tested is an opportunity to discover something the original site visit could not have caught. Franchise remodels add another layer on top of that: brand standards evolve between prototype cycles, so a location built to a five-year-old spec may need upgrades the current brand standard requires but the existing building was never designed around. Budgeting for that gap explicitly, rather than discovering it mid-construction, is one of the clearest ways to keep a remodel close to its original number.</w:t>
      </w:r>
    </w:p>
    <w:p>
      <w:pPr>
        <w:pStyle w:val="Heading2"/>
        <w:spacing w:after="160" w:before="320"/>
      </w:pPr>
      <w:r>
        <w:rPr>
          <w:rFonts w:ascii="Calibri" w:cs="Calibri" w:eastAsia="Calibri" w:hAnsi="Calibri"/>
          <w:b/>
          <w:bCs/>
          <w:color w:val="1E3A5F"/>
          <w:sz w:val="28"/>
          <w:szCs w:val="28"/>
        </w:rPr>
        <w:t xml:space="preserve">Setting a Contingency That Reflects Real Risk</w:t>
      </w:r>
    </w:p>
    <w:p>
      <w:pPr>
        <w:spacing w:after="180" w:line="300"/>
      </w:pPr>
      <w:r>
        <w:rPr>
          <w:rFonts w:ascii="Calibri" w:cs="Calibri" w:eastAsia="Calibri" w:hAnsi="Calibri"/>
          <w:i w:val="false"/>
          <w:iCs w:val="false"/>
          <w:color w:val="333333"/>
          <w:sz w:val="22"/>
          <w:szCs w:val="22"/>
        </w:rPr>
        <w:t>There is no single correct contingency percentage for every project. The right number should reflect the level of design certainty, how well the existing site conditions are actually known, and the overall risk profile of the project. A remodel in a building with thorough, recent as-built documentation carries less risk than one in an older building with no reliable existing-conditions survey, and the contingency should be set accordingly. Setting contingency too low does not make a project cheaper. It only moves the same risk from a planned line item into an unplanned change order discovered mid-construction, at a point when there is far less flexibility to absorb it without affecting either the budget or the schedule.</w:t>
      </w:r>
    </w:p>
    <w:tbl>
      <w:tblPr>
        <w:tblW w:type="dxa" w:w="9500"/>
        <w:tblBorders>
          <w:top w:val="single" w:color="DADFE3" w:sz="2"/>
          <w:left w:val="single" w:color="DADFE3" w:sz="2"/>
          <w:bottom w:val="single" w:color="DADFE3" w:sz="2"/>
          <w:right w:val="single" w:color="DADFE3" w:sz="2"/>
          <w:insideH w:val="single" w:color="DADFE3" w:sz="2"/>
          <w:insideV w:val="single" w:color="DADFE3" w:sz="2"/>
        </w:tblBorders>
      </w:tblPr>
      <w:tblGrid>
        <w:gridCol w:w="2000"/>
        <w:gridCol w:w="4500"/>
        <w:gridCol w:w="3000"/>
      </w:tblGrid>
      <w:tr>
        <w:trPr>
          <w:tblHeader/>
        </w:trPr>
        <w:tc>
          <w:tcPr>
            <w:tcW w:type="dxa" w:w="20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Risk Level</w:t>
            </w:r>
          </w:p>
        </w:tc>
        <w:tc>
          <w:tcPr>
            <w:tcW w:type="dxa" w:w="45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Typical Situation</w:t>
            </w:r>
          </w:p>
        </w:tc>
        <w:tc>
          <w:tcPr>
            <w:tcW w:type="dxa" w:w="3000"/>
            <w:shd w:fill="1E3A5F" w:color="auto" w:val="clear"/>
            <w:tcMar>
              <w:top w:type="dxa" w:w="100"/>
              <w:left w:type="dxa" w:w="120"/>
              <w:bottom w:type="dxa" w:w="100"/>
              <w:right w:type="dxa" w:w="120"/>
            </w:tcMar>
          </w:tcPr>
          <w:p>
            <w:r>
              <w:rPr>
                <w:rFonts w:ascii="Calibri" w:cs="Calibri" w:eastAsia="Calibri" w:hAnsi="Calibri"/>
                <w:b/>
                <w:bCs/>
                <w:color w:val="FFFFFF"/>
                <w:sz w:val="20"/>
                <w:szCs w:val="20"/>
              </w:rPr>
              <w:t xml:space="preserve">Suggested Contingency Range</w:t>
            </w:r>
          </w:p>
        </w:tc>
      </w:tr>
      <w:tr>
        <w:tc>
          <w:tcPr>
            <w:tcW w:type="dxa" w:w="20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Low</w:t>
            </w:r>
          </w:p>
        </w:tc>
        <w:tc>
          <w:tcPr>
            <w:tcW w:type="dxa" w:w="4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Recent as-builts, minimal existing-condition unknowns, simple scope</w:t>
            </w:r>
          </w:p>
        </w:tc>
        <w:tc>
          <w:tcPr>
            <w:tcW w:type="dxa" w:w="30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5% - 8%</w:t>
            </w:r>
          </w:p>
        </w:tc>
      </w:tr>
      <w:tr>
        <w:tc>
          <w:tcPr>
            <w:tcW w:type="dxa" w:w="20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Moderate</w:t>
            </w:r>
          </w:p>
        </w:tc>
        <w:tc>
          <w:tcPr>
            <w:tcW w:type="dxa" w:w="45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Some undocumented conditions, moderate code exposure</w:t>
            </w:r>
          </w:p>
        </w:tc>
        <w:tc>
          <w:tcPr>
            <w:tcW w:type="dxa" w:w="3000"/>
            <w:shd w:fill="F4F5F6" w:color="auto" w:val="clear"/>
            <w:tcMar>
              <w:top w:type="dxa" w:w="100"/>
              <w:left w:type="dxa" w:w="120"/>
              <w:bottom w:type="dxa" w:w="100"/>
              <w:right w:type="dxa" w:w="120"/>
            </w:tcMar>
          </w:tcPr>
          <w:p>
            <w:r>
              <w:rPr>
                <w:rFonts w:ascii="Calibri" w:cs="Calibri" w:eastAsia="Calibri" w:hAnsi="Calibri"/>
                <w:color w:val="333333"/>
                <w:sz w:val="20"/>
                <w:szCs w:val="20"/>
              </w:rPr>
              <w:t xml:space="preserve">8% - 12%</w:t>
            </w:r>
          </w:p>
        </w:tc>
      </w:tr>
      <w:tr>
        <w:tc>
          <w:tcPr>
            <w:tcW w:type="dxa" w:w="20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High</w:t>
            </w:r>
          </w:p>
        </w:tc>
        <w:tc>
          <w:tcPr>
            <w:tcW w:type="dxa" w:w="45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Older building, limited documentation, complex or phased scope</w:t>
            </w:r>
          </w:p>
        </w:tc>
        <w:tc>
          <w:tcPr>
            <w:tcW w:type="dxa" w:w="3000"/>
            <w:shd w:fill="FFFFFF" w:color="auto" w:val="clear"/>
            <w:tcMar>
              <w:top w:type="dxa" w:w="100"/>
              <w:left w:type="dxa" w:w="120"/>
              <w:bottom w:type="dxa" w:w="100"/>
              <w:right w:type="dxa" w:w="120"/>
            </w:tcMar>
          </w:tcPr>
          <w:p>
            <w:r>
              <w:rPr>
                <w:rFonts w:ascii="Calibri" w:cs="Calibri" w:eastAsia="Calibri" w:hAnsi="Calibri"/>
                <w:color w:val="333333"/>
                <w:sz w:val="20"/>
                <w:szCs w:val="20"/>
              </w:rPr>
              <w:t xml:space="preserve">12% - 20%</w:t>
            </w:r>
          </w:p>
        </w:tc>
      </w:tr>
    </w:tbl>
    <w:p>
      <w:pPr>
        <w:spacing w:after="200"/>
      </w:pPr>
    </w:p>
    <w:p>
      <w:pPr>
        <w:pStyle w:val="Heading2"/>
        <w:spacing w:after="160" w:before="320"/>
      </w:pPr>
      <w:r>
        <w:rPr>
          <w:rFonts w:ascii="Calibri" w:cs="Calibri" w:eastAsia="Calibri" w:hAnsi="Calibri"/>
          <w:b/>
          <w:bCs/>
          <w:color w:val="1E3A5F"/>
          <w:sz w:val="28"/>
          <w:szCs w:val="28"/>
        </w:rPr>
        <w:t xml:space="preserve">Questions to Resolve Before Approving the Budget</w:t>
      </w:r>
    </w:p>
    <w:p>
      <w:pPr>
        <w:pStyle w:val="ListParagraph"/>
        <w:numPr>
          <w:ilvl w:val="0"/>
          <w:numId w:val="3"/>
        </w:numPr>
        <w:spacing w:after="100"/>
      </w:pPr>
      <w:r>
        <w:rPr>
          <w:rFonts w:ascii="Calibri" w:cs="Calibri" w:eastAsia="Calibri" w:hAnsi="Calibri"/>
          <w:color w:val="333333"/>
          <w:sz w:val="22"/>
          <w:szCs w:val="22"/>
        </w:rPr>
        <w:t xml:space="preserve">What percentage of this budget is fixed cost versus allowance?</w:t>
      </w:r>
    </w:p>
    <w:p>
      <w:pPr>
        <w:pStyle w:val="ListParagraph"/>
        <w:numPr>
          <w:ilvl w:val="0"/>
          <w:numId w:val="3"/>
        </w:numPr>
        <w:spacing w:after="100"/>
      </w:pPr>
      <w:r>
        <w:rPr>
          <w:rFonts w:ascii="Calibri" w:cs="Calibri" w:eastAsia="Calibri" w:hAnsi="Calibri"/>
          <w:color w:val="333333"/>
          <w:sz w:val="22"/>
          <w:szCs w:val="22"/>
        </w:rPr>
        <w:t xml:space="preserve">Has the existing-conditions survey been completed, or is the budget based on assumptions?</w:t>
      </w:r>
    </w:p>
    <w:p>
      <w:pPr>
        <w:pStyle w:val="ListParagraph"/>
        <w:numPr>
          <w:ilvl w:val="0"/>
          <w:numId w:val="3"/>
        </w:numPr>
        <w:spacing w:after="100"/>
      </w:pPr>
      <w:r>
        <w:rPr>
          <w:rFonts w:ascii="Calibri" w:cs="Calibri" w:eastAsia="Calibri" w:hAnsi="Calibri"/>
          <w:color w:val="333333"/>
          <w:sz w:val="22"/>
          <w:szCs w:val="22"/>
        </w:rPr>
        <w:t xml:space="preserve">Which brand standard upgrades are required for this specific location, and are they reflected?</w:t>
      </w:r>
    </w:p>
    <w:p>
      <w:pPr>
        <w:pStyle w:val="ListParagraph"/>
        <w:numPr>
          <w:ilvl w:val="0"/>
          <w:numId w:val="3"/>
        </w:numPr>
        <w:spacing w:after="100"/>
      </w:pPr>
      <w:r>
        <w:rPr>
          <w:rFonts w:ascii="Calibri" w:cs="Calibri" w:eastAsia="Calibri" w:hAnsi="Calibri"/>
          <w:color w:val="333333"/>
          <w:sz w:val="22"/>
          <w:szCs w:val="22"/>
        </w:rPr>
        <w:t xml:space="preserve">What contingency level matches the actual documentation and risk on this project?</w:t>
      </w:r>
    </w:p>
    <w:p>
      <w:pPr>
        <w:pStyle w:val="ListParagraph"/>
        <w:numPr>
          <w:ilvl w:val="0"/>
          <w:numId w:val="3"/>
        </w:numPr>
        <w:spacing w:after="100"/>
      </w:pPr>
      <w:r>
        <w:rPr>
          <w:rFonts w:ascii="Calibri" w:cs="Calibri" w:eastAsia="Calibri" w:hAnsi="Calibri"/>
          <w:color w:val="333333"/>
          <w:sz w:val="22"/>
          <w:szCs w:val="22"/>
        </w:rPr>
        <w:t xml:space="preserve">Which long-lead items have price volatility, and has that been accounted for?</w:t>
      </w:r>
    </w:p>
    <w:p>
      <w:pPr>
        <w:spacing w:after="180" w:line="300"/>
      </w:pPr>
      <w:r>
        <w:rPr>
          <w:rFonts w:ascii="Calibri" w:cs="Calibri" w:eastAsia="Calibri" w:hAnsi="Calibri"/>
          <w:i w:val="false"/>
          <w:iCs w:val="false"/>
          <w:color w:val="333333"/>
          <w:sz w:val="22"/>
          <w:szCs w:val="22"/>
        </w:rPr>
        <w:t>Answering these questions before approving the project reduces the likelihood of discovering at closeout that the original budget was never realistic in the first place. The goal is not a perfect budget with zero surprises. It is a budget where the owner understands what is fixed, what is still uncertain, and what questions still need to be resolved. Getting straight answers to these five questions before signing off on a budget takes one focused conversation. Discovering the answers after the fact, at closeout, takes a much more difficult one.</w:t>
      </w:r>
    </w:p>
    <w:p>
      <w:pPr>
        <w:pStyle w:val="Heading2"/>
        <w:spacing w:after="160" w:before="320"/>
      </w:pPr>
      <w:r>
        <w:rPr>
          <w:rFonts w:ascii="Calibri" w:cs="Calibri" w:eastAsia="Calibri" w:hAnsi="Calibri"/>
          <w:b/>
          <w:bCs/>
          <w:color w:val="1E3A5F"/>
          <w:sz w:val="28"/>
          <w:szCs w:val="28"/>
        </w:rPr>
        <w:t xml:space="preserve">Building a Budget Process, Not Just a Single Number</w:t>
      </w:r>
    </w:p>
    <w:p>
      <w:pPr>
        <w:spacing w:after="180" w:line="300"/>
      </w:pPr>
      <w:r>
        <w:rPr>
          <w:rFonts w:ascii="Calibri" w:cs="Calibri" w:eastAsia="Calibri" w:hAnsi="Calibri"/>
          <w:i w:val="false"/>
          <w:iCs w:val="false"/>
          <w:color w:val="333333"/>
          <w:sz w:val="22"/>
          <w:szCs w:val="22"/>
        </w:rPr>
        <w:t>For franchise brands remodeling more than one location, the value of this approach compounds. A budgeting process that consistently separates fixed costs from allowances, sets contingency based on actual documented risk, and flags the recurring categories of late-appearing cost gives ownership a way to compare projects apples to apples, rather than treating each remodel's overage as a surprise unique to that location. Over several projects, the categories of cost that tend to appear late become predictable enough to plan for in advance, which is a meaningfully different position than discovering them for the first time at closeout. That predictability compounds across a rollout. A brand that has tracked its actual contingency usage and its most frequent late-appearing cost categories across ten prior remodels can set a far more accurate budget for the eleventh than one starting from a generic estimate each time.</w:t>
      </w:r>
    </w:p>
    <w:p>
      <w:pPr>
        <w:pStyle w:val="Heading2"/>
        <w:spacing w:after="160" w:before="320"/>
      </w:pPr>
      <w:r>
        <w:rPr>
          <w:rFonts w:ascii="Calibri" w:cs="Calibri" w:eastAsia="Calibri" w:hAnsi="Calibri"/>
          <w:b/>
          <w:bCs/>
          <w:color w:val="1E3A5F"/>
          <w:sz w:val="28"/>
          <w:szCs w:val="28"/>
        </w:rPr>
        <w:t xml:space="preserve">What a Trustworthy Budget Looks Like at Kickoff</w:t>
      </w:r>
    </w:p>
    <w:p>
      <w:pPr>
        <w:spacing w:after="180" w:line="300"/>
      </w:pPr>
      <w:r>
        <w:rPr>
          <w:rFonts w:ascii="Calibri" w:cs="Calibri" w:eastAsia="Calibri" w:hAnsi="Calibri"/>
          <w:i w:val="false"/>
          <w:iCs w:val="false"/>
          <w:color w:val="333333"/>
          <w:sz w:val="22"/>
          <w:szCs w:val="22"/>
        </w:rPr>
        <w:t xml:space="preserve">A budget an owner can trust at kickoff has a few consistent characteristics. The existing-conditions survey is complete or scheduled before the number is finalized, not treated as a formality after the fact. The percentage carried as allowance is disclosed and understood, not buried inside a single construction total. Contingency is tied to a documented risk assessment rather than a round number picked out of habit. And the categories of cost most likely to appear late, based on the specific building and brand standards involved, have already been discussed rather than left as an unpleasant surprise for the closeout meeting. None of this eliminates uncertainty entirely. It converts uncertainty the owner cannot see into uncertainty the owner has already priced in.</w:t>
      </w:r>
    </w:p>
    <w:p>
      <w:pPr>
        <w:pStyle w:val="Heading2"/>
        <w:spacing w:after="160" w:before="320"/>
      </w:pPr>
      <w:r>
        <w:rPr>
          <w:rFonts w:ascii="Calibri" w:cs="Calibri" w:eastAsia="Calibri" w:hAnsi="Calibri"/>
          <w:b/>
          <w:bCs/>
          <w:color w:val="1E3A5F"/>
          <w:sz w:val="28"/>
          <w:szCs w:val="28"/>
        </w:rPr>
        <w:t xml:space="preserve">Frequently Asked Questions</w:t>
      </w:r>
    </w:p>
    <w:p>
      <w:pPr>
        <w:pStyle w:val="Heading3"/>
        <w:spacing w:after="120" w:before="220"/>
      </w:pPr>
      <w:r>
        <w:rPr>
          <w:rFonts w:ascii="Calibri" w:cs="Calibri" w:eastAsia="Calibri" w:hAnsi="Calibri"/>
          <w:b/>
          <w:bCs/>
          <w:color w:val="1E3A5F"/>
          <w:sz w:val="24"/>
          <w:szCs w:val="24"/>
        </w:rPr>
        <w:t xml:space="preserve">How much does a franchise remodel typically cost?</w:t>
      </w:r>
    </w:p>
    <w:p>
      <w:pPr>
        <w:spacing w:after="180" w:line="300"/>
      </w:pPr>
      <w:r>
        <w:rPr>
          <w:rFonts w:ascii="Calibri" w:cs="Calibri" w:eastAsia="Calibri" w:hAnsi="Calibri"/>
          <w:i w:val="false"/>
          <w:iCs w:val="false"/>
          <w:color w:val="333333"/>
          <w:sz w:val="22"/>
          <w:szCs w:val="22"/>
        </w:rPr>
        <w:t>Cost varies widely based on scope, existing conditions, and brand standards, which is exactly why a generic cost-per-square-foot number is unreliable. A budget built from the actual components (construction, fees, permits, FF&amp;E, allowances, site-specific work, and contingency) gives a far more accurate picture. Two locations of the same brand, in different buildings, can have remodel costs that differ by a wide margin even though the finished spaces look identical to a customer.</w:t>
      </w:r>
    </w:p>
    <w:p>
      <w:pPr>
        <w:pStyle w:val="Heading3"/>
        <w:spacing w:after="120" w:before="220"/>
      </w:pPr>
      <w:r>
        <w:rPr>
          <w:rFonts w:ascii="Calibri" w:cs="Calibri" w:eastAsia="Calibri" w:hAnsi="Calibri"/>
          <w:b/>
          <w:bCs/>
          <w:color w:val="1E3A5F"/>
          <w:sz w:val="24"/>
          <w:szCs w:val="24"/>
        </w:rPr>
        <w:t xml:space="preserve">How much contingency should I budget for a restaurant remodel?</w:t>
      </w:r>
    </w:p>
    <w:p>
      <w:pPr>
        <w:spacing w:after="180" w:line="300"/>
      </w:pPr>
      <w:r>
        <w:rPr>
          <w:rFonts w:ascii="Calibri" w:cs="Calibri" w:eastAsia="Calibri" w:hAnsi="Calibri"/>
          <w:i w:val="false"/>
          <w:iCs w:val="false"/>
          <w:color w:val="333333"/>
          <w:sz w:val="22"/>
          <w:szCs w:val="22"/>
        </w:rPr>
        <w:t>Contingency should reflect design certainty and site risk rather than a fixed percentage. Low-risk projects with thorough documentation may need only 5 to 8 percent, while older buildings with limited documentation often warrant 12 to 20 percent. When in doubt, it is safer to set contingency toward the higher end of the appropriate range than to assume the best case will hold.</w:t>
      </w:r>
    </w:p>
    <w:p>
      <w:pPr>
        <w:pStyle w:val="Heading3"/>
        <w:spacing w:after="120" w:before="220"/>
      </w:pPr>
      <w:r>
        <w:rPr>
          <w:rFonts w:ascii="Calibri" w:cs="Calibri" w:eastAsia="Calibri" w:hAnsi="Calibri"/>
          <w:b/>
          <w:bCs/>
          <w:color w:val="1E3A5F"/>
          <w:sz w:val="24"/>
          <w:szCs w:val="24"/>
        </w:rPr>
        <w:t xml:space="preserve">What is the difference between a fixed cost and an allowance in a remodel budget?</w:t>
      </w:r>
    </w:p>
    <w:p>
      <w:pPr>
        <w:spacing w:after="180" w:line="300"/>
      </w:pPr>
      <w:r>
        <w:rPr>
          <w:rFonts w:ascii="Calibri" w:cs="Calibri" w:eastAsia="Calibri" w:hAnsi="Calibri"/>
          <w:i w:val="false"/>
          <w:iCs w:val="false"/>
          <w:color w:val="333333"/>
          <w:sz w:val="22"/>
          <w:szCs w:val="22"/>
        </w:rPr>
        <w:t>A fixed cost is based on a finalized selection or scope and is unlikely to change. An allowance is a placeholder for a decision not yet finalized. A budget with a high percentage of allowances carries more uncertainty than the total dollar figure suggests. Asking for a fixed cost versus allowance breakdown, not just a bottom-line total, is one of the simplest ways to evaluate any proposed budget.</w:t>
      </w:r>
    </w:p>
    <w:p>
      <w:pPr>
        <w:pStyle w:val="Heading3"/>
        <w:spacing w:after="120" w:before="220"/>
      </w:pPr>
      <w:r>
        <w:rPr>
          <w:rFonts w:ascii="Calibri" w:cs="Calibri" w:eastAsia="Calibri" w:hAnsi="Calibri"/>
          <w:b/>
          <w:bCs/>
          <w:color w:val="1E3A5F"/>
          <w:sz w:val="24"/>
          <w:szCs w:val="24"/>
        </w:rPr>
        <w:t xml:space="preserve">How can I avoid going over budget on a franchise remodel?</w:t>
      </w:r>
    </w:p>
    <w:p>
      <w:pPr>
        <w:spacing w:after="180" w:line="300"/>
      </w:pPr>
      <w:r>
        <w:rPr>
          <w:rFonts w:ascii="Calibri" w:cs="Calibri" w:eastAsia="Calibri" w:hAnsi="Calibri"/>
          <w:i w:val="false"/>
          <w:iCs w:val="false"/>
          <w:color w:val="333333"/>
          <w:sz w:val="22"/>
          <w:szCs w:val="22"/>
        </w:rPr>
        <w:t>Complete an existing-conditions survey before finalizing the budget, understand what brand standards require for the specific location, set contingency based on actual project risk, and account for price volatility on long-lead FF&amp;E items. Doing these four things before the budget is approved addresses the large majority of overages that typically surface at closeout.</w:t>
      </w:r>
    </w:p>
    <w:tbl>
      <w:tblPr>
        <w:tblW w:type="dxa" w:w="9500"/>
        <w:tblBorders>
          <w:top w:val="single" w:color="1E3A5F" w:sz="4"/>
          <w:left w:val="single" w:color="1E3A5F" w:sz="4"/>
          <w:bottom w:val="single" w:color="1E3A5F" w:sz="4"/>
          <w:right w:val="single" w:color="1E3A5F" w:sz="4"/>
          <w:insideH w:val="single" w:color="auto" w:sz="4"/>
          <w:insideV w:val="single" w:color="auto" w:sz="4"/>
        </w:tblBorders>
      </w:tblPr>
      <w:tblGrid>
        <w:gridCol w:w="9500"/>
      </w:tblGrid>
      <w:tr>
        <w:tc>
          <w:tcPr>
            <w:tcW w:type="dxa" w:w="9500"/>
            <w:shd w:fill="1E3A5F" w:color="auto" w:val="clear"/>
            <w:tcMar>
              <w:top w:type="dxa" w:w="200"/>
              <w:left w:type="dxa" w:w="250"/>
              <w:bottom w:type="dxa" w:w="200"/>
              <w:right w:type="dxa" w:w="250"/>
            </w:tcMar>
          </w:tcPr>
          <w:p>
            <w:pPr>
              <w:spacing w:after="100"/>
            </w:pPr>
            <w:r>
              <w:rPr>
                <w:rFonts w:ascii="Calibri" w:cs="Calibri" w:eastAsia="Calibri" w:hAnsi="Calibri"/>
                <w:b/>
                <w:bCs/>
                <w:color w:val="FFFFFF"/>
                <w:sz w:val="26"/>
                <w:szCs w:val="26"/>
              </w:rPr>
              <w:t xml:space="preserve">Building a Remodel Budget You Can Trust</w:t>
            </w:r>
          </w:p>
          <w:p>
            <w:pPr>
              <w:spacing w:after="150"/>
            </w:pPr>
            <w:r>
              <w:rPr>
                <w:rFonts w:ascii="Calibri" w:cs="Calibri" w:eastAsia="Calibri" w:hAnsi="Calibri"/>
                <w:color w:val="E7ECF1"/>
                <w:sz w:val="21"/>
                <w:szCs w:val="21"/>
              </w:rPr>
              <w:t xml:space="preserve">Brand2Builds helps franchise owners build remodel budgets grounded in actual site conditions and brand requirements, so the number approved at kickoff is the number that holds up at closeout.</w:t>
            </w:r>
          </w:p>
          <w:p>
            <w:hyperlink w:history="1" r:id="rIdd50vwblcejupgxs0wr2kp">
              <w:r>
                <w:rPr>
                  <w:rFonts w:ascii="Calibri" w:cs="Calibri" w:eastAsia="Calibri" w:hAnsi="Calibri"/>
                  <w:b/>
                  <w:bCs/>
                  <w:color w:val="D9622B"/>
                  <w:sz w:val="22"/>
                  <w:szCs w:val="22"/>
                  <w:u w:val="single"/>
                </w:rPr>
                <w:t xml:space="preserve">Talk to Brand2Builds about your remodel budget →</w:t>
              </w:r>
            </w:hyperlink>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50vwblcejupgxs0wr2kp" Type="http://schemas.openxmlformats.org/officeDocument/2006/relationships/hyperlink" Target="https://REPLACE-WITH-BRAND2BUILDS-URL.com" TargetMode="Externa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2026-08-31T16:24:28.578Z</dcterms:created>
  <dcterms:modified xsi:type="dcterms:W3CDTF">2026-08-31T16:24:28.578Z</dcterms:modified>
</cp:coreProperties>
</file>

<file path=docProps/custom.xml><?xml version="1.0" encoding="utf-8"?>
<Properties xmlns="http://schemas.openxmlformats.org/officeDocument/2006/custom-properties" xmlns:vt="http://schemas.openxmlformats.org/officeDocument/2006/docPropsVTypes"/>
</file>