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5A96D" w14:textId="77777777" w:rsidR="007303B5" w:rsidRDefault="00F66824">
      <w:pPr>
        <w:spacing w:before="100" w:after="120"/>
      </w:pPr>
      <w:r>
        <w:rPr>
          <w:b/>
          <w:bCs/>
          <w:caps/>
          <w:color w:val="C8A84B"/>
          <w:sz w:val="18"/>
          <w:szCs w:val="18"/>
        </w:rPr>
        <w:t>CMS META BLOCK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7303B5" w:rsidRPr="00796D30" w14:paraId="71DC2976"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76919568" w14:textId="77777777" w:rsidR="007303B5" w:rsidRDefault="00F66824">
            <w:r>
              <w:rPr>
                <w:b/>
                <w:bCs/>
                <w:color w:val="142850"/>
                <w:sz w:val="20"/>
                <w:szCs w:val="20"/>
              </w:rPr>
              <w:t>Title Tag</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4A1DBCAE" w14:textId="77777777" w:rsidR="007303B5" w:rsidRPr="00796D30" w:rsidRDefault="00F66824">
            <w:pPr>
              <w:rPr>
                <w:lang w:val="en-US"/>
              </w:rPr>
            </w:pPr>
            <w:r>
              <w:rPr>
                <w:color w:val="444444"/>
                <w:sz w:val="20"/>
                <w:szCs w:val="20"/>
                <w:lang w:val="en-US"/>
              </w:rPr>
              <w:t>How to Open a New Franchise Location | Architecture &amp; Permitting</w:t>
            </w:r>
          </w:p>
        </w:tc>
      </w:tr>
      <w:tr w:rsidR="00C35255" w:rsidRPr="00053740" w14:paraId="2064DA2E"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261B116F" w14:textId="77777777" w:rsidR="00FE7296" w:rsidRDefault="00FE7296">
            <w:r>
              <w:rPr>
                <w:b/>
                <w:bCs/>
                <w:color w:val="142850"/>
                <w:sz w:val="20"/>
                <w:szCs w:val="20"/>
              </w:rPr>
              <w:t>URL Slug</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09FB83C2" w14:textId="77777777" w:rsidR="00FE7296" w:rsidRPr="00053740" w:rsidRDefault="00FE7296">
            <w:pPr>
              <w:rPr>
                <w:lang w:val="en-US"/>
              </w:rPr>
            </w:pPr>
            <w:r>
              <w:rPr>
                <w:color w:val="444444"/>
                <w:sz w:val="20"/>
                <w:szCs w:val="20"/>
                <w:lang w:val="en-US"/>
              </w:rPr>
              <w:t>/blog/how-to-open-a-franchise-location</w:t>
            </w:r>
          </w:p>
        </w:tc>
      </w:tr>
      <w:tr w:rsidR="007303B5" w:rsidRPr="00796D30" w14:paraId="0FC8166C"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262F944C" w14:textId="77777777" w:rsidR="007303B5" w:rsidRDefault="00F66824">
            <w:r>
              <w:rPr>
                <w:b/>
                <w:bCs/>
                <w:color w:val="142850"/>
                <w:sz w:val="20"/>
                <w:szCs w:val="20"/>
              </w:rPr>
              <w:t>Meta Description</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0A58E7FA" w14:textId="77777777" w:rsidR="007303B5" w:rsidRPr="00796D30" w:rsidRDefault="00F66824">
            <w:pPr>
              <w:rPr>
                <w:lang w:val="en-US"/>
              </w:rPr>
            </w:pPr>
            <w:r>
              <w:rPr>
                <w:color w:val="444444"/>
                <w:sz w:val="20"/>
                <w:szCs w:val="20"/>
                <w:lang w:val="en-US"/>
              </w:rPr>
              <w:t>A step-by-step look at the architecture and permitting process for opening a new franchise location, from prototype package to construction support.</w:t>
            </w:r>
          </w:p>
        </w:tc>
      </w:tr>
      <w:tr w:rsidR="007303B5" w:rsidRPr="00796D30" w14:paraId="44D5B920"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0A10F458" w14:textId="77777777" w:rsidR="007303B5" w:rsidRDefault="00F66824">
            <w:r>
              <w:rPr>
                <w:b/>
                <w:bCs/>
                <w:color w:val="142850"/>
                <w:sz w:val="20"/>
                <w:szCs w:val="20"/>
              </w:rPr>
              <w:t>Target Keyword</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477A95E8" w14:textId="77777777" w:rsidR="007303B5" w:rsidRPr="00796D30" w:rsidRDefault="00F66824">
            <w:pPr>
              <w:rPr>
                <w:lang w:val="en-US"/>
              </w:rPr>
            </w:pPr>
            <w:r>
              <w:rPr>
                <w:color w:val="444444"/>
                <w:sz w:val="20"/>
                <w:szCs w:val="20"/>
                <w:lang w:val="en-US"/>
              </w:rPr>
              <w:t>how to open a franchise location</w:t>
            </w:r>
          </w:p>
        </w:tc>
      </w:tr>
      <w:tr w:rsidR="007303B5" w:rsidRPr="00796D30" w14:paraId="1E5E1EFD"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562BE447" w14:textId="77777777" w:rsidR="007303B5" w:rsidRDefault="00F66824">
            <w:r>
              <w:rPr>
                <w:b/>
                <w:bCs/>
                <w:color w:val="142850"/>
                <w:sz w:val="20"/>
                <w:szCs w:val="20"/>
              </w:rPr>
              <w:t>Supporting Keywords</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6CE167F5" w14:textId="77777777" w:rsidR="007303B5" w:rsidRPr="00796D30" w:rsidRDefault="00F66824">
            <w:pPr>
              <w:rPr>
                <w:lang w:val="en-US"/>
              </w:rPr>
            </w:pPr>
            <w:r>
              <w:rPr>
                <w:color w:val="444444"/>
                <w:sz w:val="20"/>
                <w:szCs w:val="20"/>
                <w:lang w:val="en-US"/>
              </w:rPr>
              <w:t>how to open a second franchise location fast; steps to opening a new franchise location architecture and permits; what do you need to open a franchise location</w:t>
            </w:r>
          </w:p>
        </w:tc>
      </w:tr>
      <w:tr w:rsidR="007303B5" w14:paraId="189AD5EB"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1BD7827D" w14:textId="77777777" w:rsidR="007303B5" w:rsidRDefault="00F66824">
            <w:r>
              <w:rPr>
                <w:b/>
                <w:bCs/>
                <w:color w:val="142850"/>
                <w:sz w:val="20"/>
                <w:szCs w:val="20"/>
              </w:rPr>
              <w:t>Optimization Type</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35B5C031" w14:textId="77777777" w:rsidR="007303B5" w:rsidRDefault="00F66824">
            <w:r>
              <w:rPr>
                <w:color w:val="444444"/>
                <w:sz w:val="20"/>
                <w:szCs w:val="20"/>
              </w:rPr>
              <w:t>SEO</w:t>
            </w:r>
          </w:p>
        </w:tc>
      </w:tr>
    </w:tbl>
    <w:p w14:paraId="070D621B" w14:textId="77777777" w:rsidR="007303B5" w:rsidRDefault="007303B5">
      <w:pPr>
        <w:spacing w:before="300" w:after="100"/>
      </w:pPr>
    </w:p>
    <w:p w14:paraId="27794F19" w14:textId="77777777" w:rsidR="007303B5" w:rsidRPr="00796D30" w:rsidRDefault="00F66824">
      <w:pPr>
        <w:pStyle w:val="Ttulo1"/>
        <w:rPr>
          <w:lang w:val="en-US"/>
        </w:rPr>
      </w:pPr>
      <w:r>
        <w:rPr>
          <w:lang w:val="en-US"/>
        </w:rPr>
        <w:t>How to Open a New Franchise Location: The Architecture and Permitting Process Explained</w:t>
      </w:r>
    </w:p>
    <w:p w14:paraId="73DC28C7" w14:textId="77777777" w:rsidR="007303B5" w:rsidRPr="00796D30" w:rsidRDefault="00F66824">
      <w:pPr>
        <w:spacing w:after="200" w:line="300" w:lineRule="auto"/>
        <w:rPr>
          <w:lang w:val="en-US"/>
        </w:rPr>
      </w:pPr>
      <w:r>
        <w:rPr>
          <w:lang w:val="en-US"/>
        </w:rPr>
        <w:t>Opening a franchise location looks simple on a development schedule. It's a line item: “Open Unit 4, Q3.” What that line item hides is a sequence of architectural, engineering, and permitting decisions that, if mismanaged, can push an opening date by months and add tens of thousands of dollars to a project that was supposed to be routine. This is especially true for operators moving from their first location to their second, third, or fourth — the point where many assume the process will simply repeat itself and are surprised when it doesn't.</w:t>
      </w:r>
    </w:p>
    <w:p w14:paraId="60154B0F" w14:textId="77777777" w:rsidR="007303B5" w:rsidRPr="00796D30" w:rsidRDefault="00F66824">
      <w:pPr>
        <w:spacing w:after="200" w:line="300" w:lineRule="auto"/>
        <w:rPr>
          <w:lang w:val="en-US"/>
        </w:rPr>
      </w:pPr>
      <w:r>
        <w:rPr>
          <w:lang w:val="en-US"/>
        </w:rPr>
        <w:t>This guide walks through the complete process of opening a new franchise location from the architecture and design side: what happens between signing a lease and cutting a ribbon, what each phase realistically takes, and where operators most often lose time.</w:t>
      </w:r>
    </w:p>
    <w:p w14:paraId="2BED6687" w14:textId="77777777" w:rsidR="007303B5" w:rsidRPr="00796D30" w:rsidRDefault="00F66824">
      <w:pPr>
        <w:pStyle w:val="Ttulo2"/>
        <w:rPr>
          <w:lang w:val="en-US"/>
        </w:rPr>
      </w:pPr>
      <w:r>
        <w:rPr>
          <w:lang w:val="en-US"/>
        </w:rPr>
        <w:t>The Franchise Rollout Process, Phase by Phase</w:t>
      </w:r>
    </w:p>
    <w:p w14:paraId="4D8307FB" w14:textId="77777777" w:rsidR="007303B5" w:rsidRPr="00796D30" w:rsidRDefault="00F66824">
      <w:pPr>
        <w:spacing w:after="200" w:line="300" w:lineRule="auto"/>
        <w:rPr>
          <w:lang w:val="en-US"/>
        </w:rPr>
      </w:pPr>
      <w:r>
        <w:rPr>
          <w:lang w:val="en-US"/>
        </w:rPr>
        <w:t>A franchise location doesn't move from lease to opening in one step. It moves through a defined sequence of design, engineering, and regulatory phases, each with its own deliverables and its own risk of delay.</w:t>
      </w:r>
    </w:p>
    <w:p w14:paraId="36D61834" w14:textId="77777777" w:rsidR="007303B5" w:rsidRPr="00796D30" w:rsidRDefault="00F66824">
      <w:pPr>
        <w:pStyle w:val="Ttulo3"/>
        <w:rPr>
          <w:lang w:val="en-US"/>
        </w:rPr>
      </w:pPr>
      <w:r>
        <w:rPr>
          <w:lang w:val="en-US"/>
        </w:rPr>
        <w:t>Phase 1: Receive the Prototype Design Package</w:t>
      </w:r>
    </w:p>
    <w:p w14:paraId="4E6B4B92" w14:textId="77777777" w:rsidR="007303B5" w:rsidRPr="00796D30" w:rsidRDefault="00F66824">
      <w:pPr>
        <w:spacing w:after="200" w:line="300" w:lineRule="auto"/>
        <w:rPr>
          <w:lang w:val="en-US"/>
        </w:rPr>
      </w:pPr>
      <w:r>
        <w:rPr>
          <w:lang w:val="en-US"/>
        </w:rPr>
        <w:t>Every rollout starts with the franchisor's prototype: the layouts, brand guidelines, equipment schedules, and finish standards that define what the concept is supposed to look like. A good architecture partner reviews this package alongside any deviations approved at previous locations, so lessons from Unit 2 actually inform Unit 3 instead of being relearned from scratch.</w:t>
      </w:r>
    </w:p>
    <w:p w14:paraId="053F013A" w14:textId="77777777" w:rsidR="007303B5" w:rsidRPr="00796D30" w:rsidRDefault="00F66824">
      <w:pPr>
        <w:pStyle w:val="Ttulo3"/>
        <w:rPr>
          <w:lang w:val="en-US"/>
        </w:rPr>
      </w:pPr>
      <w:r>
        <w:rPr>
          <w:lang w:val="en-US"/>
        </w:rPr>
        <w:t>Phase 2: Site Due Diligence</w:t>
      </w:r>
    </w:p>
    <w:p w14:paraId="5D1EB1BC" w14:textId="77777777" w:rsidR="007303B5" w:rsidRPr="00796D30" w:rsidRDefault="00F66824">
      <w:pPr>
        <w:spacing w:after="200" w:line="300" w:lineRule="auto"/>
        <w:rPr>
          <w:lang w:val="en-US"/>
        </w:rPr>
      </w:pPr>
      <w:r>
        <w:rPr>
          <w:lang w:val="en-US"/>
        </w:rPr>
        <w:lastRenderedPageBreak/>
        <w:t>Before a single drawing is produced, the site itself has to be evaluated: zoning and entitlement status, existing infrastructure (electrical capacity, plumbing, grease interceptors for food concepts, HVAC tonnage), and how well the prototype actually fits the space. This is where cost, schedule, and approval risk get identified — or missed. A site that looks fine on a walkthrough can carry a six-figure infrastructure problem that only shows up once construction documents are underway.</w:t>
      </w:r>
    </w:p>
    <w:p w14:paraId="7D9564D1" w14:textId="77777777" w:rsidR="007303B5" w:rsidRPr="00796D30" w:rsidRDefault="00F66824">
      <w:pPr>
        <w:pStyle w:val="Ttulo3"/>
        <w:rPr>
          <w:lang w:val="en-US"/>
        </w:rPr>
      </w:pPr>
      <w:r>
        <w:rPr>
          <w:lang w:val="en-US"/>
        </w:rPr>
        <w:t>Phase 3: Schematic Design and Design Development (SD/DD)</w:t>
      </w:r>
    </w:p>
    <w:p w14:paraId="674998DD" w14:textId="77777777" w:rsidR="007303B5" w:rsidRPr="00796D30" w:rsidRDefault="00F66824">
      <w:pPr>
        <w:spacing w:after="200" w:line="300" w:lineRule="auto"/>
        <w:rPr>
          <w:lang w:val="en-US"/>
        </w:rPr>
      </w:pPr>
      <w:r>
        <w:rPr>
          <w:lang w:val="en-US"/>
        </w:rPr>
        <w:t>This is where the prototype gets adapted to the specific site, and where architecture, mechanical, electrical, plumbing, and structural consultants need to be coordinated against the same brand prototype. The goal at this stage is feasibility and coordination: confirming the layout works, the systems align, and the scope, schedule, and permitting risk are understood before construction documents are drafted.</w:t>
      </w:r>
    </w:p>
    <w:p w14:paraId="0D7A48B4" w14:textId="77777777" w:rsidR="007303B5" w:rsidRPr="00796D30" w:rsidRDefault="00F66824">
      <w:pPr>
        <w:pStyle w:val="Ttulo3"/>
        <w:rPr>
          <w:lang w:val="en-US"/>
        </w:rPr>
      </w:pPr>
      <w:r>
        <w:rPr>
          <w:lang w:val="en-US"/>
        </w:rPr>
        <w:t>Phase 4: Construction Documents (CD)</w:t>
      </w:r>
    </w:p>
    <w:p w14:paraId="2743E2E1" w14:textId="77777777" w:rsidR="007303B5" w:rsidRPr="00796D30" w:rsidRDefault="00F66824">
      <w:pPr>
        <w:spacing w:after="200" w:line="300" w:lineRule="auto"/>
        <w:rPr>
          <w:lang w:val="en-US"/>
        </w:rPr>
      </w:pPr>
      <w:r>
        <w:rPr>
          <w:lang w:val="en-US"/>
        </w:rPr>
        <w:t>CDs are the fully coordinated, brand-compliant drawing set used for permitting and construction — architectural, structural, mechanical, electrical, and plumbing sheets that all have to agree with each other and with the brand standard. This is typically the longest phase, and the one most sensitive to how well the earlier phases were handled.</w:t>
      </w:r>
    </w:p>
    <w:p w14:paraId="7263A222" w14:textId="77777777" w:rsidR="007303B5" w:rsidRPr="00796D30" w:rsidRDefault="00F66824">
      <w:pPr>
        <w:pStyle w:val="Ttulo3"/>
        <w:rPr>
          <w:lang w:val="en-US"/>
        </w:rPr>
      </w:pPr>
      <w:r>
        <w:rPr>
          <w:lang w:val="en-US"/>
        </w:rPr>
        <w:t>Phase 5: Quality Control (QA) Review</w:t>
      </w:r>
    </w:p>
    <w:p w14:paraId="734FEEBB" w14:textId="77777777" w:rsidR="007303B5" w:rsidRPr="00796D30" w:rsidRDefault="00F66824">
      <w:pPr>
        <w:spacing w:after="200" w:line="300" w:lineRule="auto"/>
        <w:rPr>
          <w:lang w:val="en-US"/>
        </w:rPr>
      </w:pPr>
      <w:r>
        <w:rPr>
          <w:lang w:val="en-US"/>
        </w:rPr>
        <w:t>Before anything goes to a building department, the set should be checked internally for code compliance and brand-standard adherence across every discipline. Skipping or rushing this step is one of the most common causes of plan check rejections later.</w:t>
      </w:r>
    </w:p>
    <w:p w14:paraId="5C8669DA" w14:textId="77777777" w:rsidR="007303B5" w:rsidRPr="00796D30" w:rsidRDefault="00F66824">
      <w:pPr>
        <w:pStyle w:val="Ttulo3"/>
        <w:rPr>
          <w:lang w:val="en-US"/>
        </w:rPr>
      </w:pPr>
      <w:r>
        <w:rPr>
          <w:lang w:val="en-US"/>
        </w:rPr>
        <w:t>Phase 6: Seal, Submit, and Respond to Plan Check</w:t>
      </w:r>
    </w:p>
    <w:p w14:paraId="2B97BC05" w14:textId="77777777" w:rsidR="007303B5" w:rsidRPr="00796D30" w:rsidRDefault="00F66824">
      <w:pPr>
        <w:spacing w:after="200" w:line="300" w:lineRule="auto"/>
        <w:rPr>
          <w:lang w:val="en-US"/>
        </w:rPr>
      </w:pPr>
      <w:r>
        <w:rPr>
          <w:lang w:val="en-US"/>
        </w:rPr>
        <w:t>A licensed architect seals and submits the permit set to the authority having jurisdiction (AHJ), then responds to plan check comments and resubmittals as they come back. This is the phase with the widest timeline variability, because it depends entirely on the jurisdiction — not on how well the project was designed.</w:t>
      </w:r>
    </w:p>
    <w:p w14:paraId="7714CDE6" w14:textId="77777777" w:rsidR="007303B5" w:rsidRPr="00796D30" w:rsidRDefault="00F66824">
      <w:pPr>
        <w:pStyle w:val="Ttulo3"/>
        <w:rPr>
          <w:lang w:val="en-US"/>
        </w:rPr>
      </w:pPr>
      <w:r>
        <w:rPr>
          <w:lang w:val="en-US"/>
        </w:rPr>
        <w:t>Phase 7: Deliver the Final Package to the Franchisor</w:t>
      </w:r>
    </w:p>
    <w:p w14:paraId="742BF8B2" w14:textId="77777777" w:rsidR="007303B5" w:rsidRPr="00796D30" w:rsidRDefault="00F66824">
      <w:pPr>
        <w:spacing w:after="200" w:line="300" w:lineRule="auto"/>
        <w:rPr>
          <w:lang w:val="en-US"/>
        </w:rPr>
      </w:pPr>
      <w:r>
        <w:rPr>
          <w:lang w:val="en-US"/>
        </w:rPr>
        <w:t>Once approved, the permit set (PDF and CAD/BIM as required) goes back to the franchisor along with compliance documentation and version history, closing the loop on brand consistency tracking.</w:t>
      </w:r>
    </w:p>
    <w:p w14:paraId="55F0C684" w14:textId="77777777" w:rsidR="007303B5" w:rsidRPr="00796D30" w:rsidRDefault="00F66824">
      <w:pPr>
        <w:pStyle w:val="Ttulo3"/>
        <w:rPr>
          <w:lang w:val="en-US"/>
        </w:rPr>
      </w:pPr>
      <w:r>
        <w:rPr>
          <w:lang w:val="en-US"/>
        </w:rPr>
        <w:t>Phase 8: Construction Phase Support</w:t>
      </w:r>
    </w:p>
    <w:p w14:paraId="10FC878E" w14:textId="77777777" w:rsidR="007303B5" w:rsidRPr="00796D30" w:rsidRDefault="00F66824">
      <w:pPr>
        <w:spacing w:after="200" w:line="300" w:lineRule="auto"/>
        <w:rPr>
          <w:lang w:val="en-US"/>
        </w:rPr>
      </w:pPr>
      <w:r>
        <w:rPr>
          <w:lang w:val="en-US"/>
        </w:rPr>
        <w:t>Design work doesn't end at permit issuance. RFIs, submittal reviews, ASIs, and site visits continue through construction, and how responsive the architecture team is during this phase has a direct effect on whether the location opens on schedule.</w:t>
      </w:r>
    </w:p>
    <w:p w14:paraId="42E8FEA5" w14:textId="77777777" w:rsidR="007303B5" w:rsidRPr="00796D30" w:rsidRDefault="00F66824">
      <w:pPr>
        <w:pStyle w:val="Ttulo2"/>
        <w:rPr>
          <w:lang w:val="en-US"/>
        </w:rPr>
      </w:pPr>
      <w:r>
        <w:rPr>
          <w:lang w:val="en-US"/>
        </w:rPr>
        <w:lastRenderedPageBreak/>
        <w:t>Realistic Timelines — and Why They Vary by Phase</w:t>
      </w:r>
    </w:p>
    <w:p w14:paraId="7F7DD249" w14:textId="77777777" w:rsidR="007303B5" w:rsidRPr="00796D30" w:rsidRDefault="00F66824">
      <w:pPr>
        <w:spacing w:after="200" w:line="300" w:lineRule="auto"/>
        <w:rPr>
          <w:lang w:val="en-US"/>
        </w:rPr>
      </w:pPr>
      <w:r>
        <w:rPr>
          <w:lang w:val="en-US"/>
        </w:rPr>
        <w:t>Site due diligence and test fits can move fast: a rollout-focused firm can typically turn around a test fit in 36 to 72 hours, because the prototype and code matrix already exist. SD/DD and CD production take longer and are more predictable, since they depend mainly on internal coordination. Permitting is the phase that resists prediction, because approval timelines are set by the jurisdiction, not the design team. A single-family suburb and a dense urban core can review the identical drawing set on completely different timelines. Operators who build their opening date around a single national average timeline, rather than a jurisdiction-specific estimate, are the ones who end up missing it.</w:t>
      </w:r>
    </w:p>
    <w:p w14:paraId="18F92C43" w14:textId="77777777" w:rsidR="007303B5" w:rsidRPr="00796D30" w:rsidRDefault="00F66824">
      <w:pPr>
        <w:pStyle w:val="Ttulo2"/>
        <w:rPr>
          <w:lang w:val="en-US"/>
        </w:rPr>
      </w:pPr>
      <w:r>
        <w:rPr>
          <w:lang w:val="en-US"/>
        </w:rPr>
        <w:t>The Three Mistakes That Slow Down Second, Third, and Fourth Locations</w:t>
      </w:r>
    </w:p>
    <w:p w14:paraId="2A23D5FE" w14:textId="77777777" w:rsidR="007303B5" w:rsidRPr="00796D30" w:rsidRDefault="00F66824">
      <w:pPr>
        <w:spacing w:after="200" w:line="300" w:lineRule="auto"/>
        <w:rPr>
          <w:lang w:val="en-US"/>
        </w:rPr>
      </w:pPr>
      <w:r>
        <w:rPr>
          <w:lang w:val="en-US"/>
        </w:rPr>
        <w:t>Operators expect their first location to be hard. What catches many off guard is that the second location doesn't automatically get easier — and for operators without the right architecture partner, it can get harder.</w:t>
      </w:r>
    </w:p>
    <w:p w14:paraId="3BD527F9" w14:textId="77777777" w:rsidR="007303B5" w:rsidRPr="00796D30" w:rsidRDefault="00F66824">
      <w:pPr>
        <w:pStyle w:val="Prrafodelista"/>
        <w:numPr>
          <w:ilvl w:val="0"/>
          <w:numId w:val="2"/>
        </w:numPr>
        <w:spacing w:after="120" w:line="300" w:lineRule="auto"/>
        <w:rPr>
          <w:lang w:val="en-US"/>
        </w:rPr>
      </w:pPr>
      <w:r>
        <w:rPr>
          <w:lang w:val="en-US"/>
        </w:rPr>
        <w:t>Assuming the process replicates itself automatically. A prototype isn't a stamp. Every site has different infrastructure, different code requirements, and often a different AHJ. Treating location two like a copy-paste of location one is the single most common source of budget and schedule surprises.</w:t>
      </w:r>
    </w:p>
    <w:p w14:paraId="7B6B45DC" w14:textId="77777777" w:rsidR="007303B5" w:rsidRPr="00796D30" w:rsidRDefault="00F66824">
      <w:pPr>
        <w:pStyle w:val="Prrafodelista"/>
        <w:numPr>
          <w:ilvl w:val="0"/>
          <w:numId w:val="2"/>
        </w:numPr>
        <w:spacing w:after="120" w:line="300" w:lineRule="auto"/>
        <w:rPr>
          <w:lang w:val="en-US"/>
        </w:rPr>
      </w:pPr>
      <w:r>
        <w:rPr>
          <w:lang w:val="en-US"/>
        </w:rPr>
        <w:t>Underestimating how much permit timelines vary by jurisdiction. A firm that only knows the code and review culture of one city can't reliably estimate a schedule in the next state, or even the next county. Multi-jurisdiction experience isn't a nice-to-have — it's the difference between a schedule that holds and one that doesn't.</w:t>
      </w:r>
    </w:p>
    <w:p w14:paraId="5D63F0EC" w14:textId="77777777" w:rsidR="007303B5" w:rsidRPr="00796D30" w:rsidRDefault="00F66824">
      <w:pPr>
        <w:pStyle w:val="Prrafodelista"/>
        <w:numPr>
          <w:ilvl w:val="0"/>
          <w:numId w:val="2"/>
        </w:numPr>
        <w:spacing w:after="120" w:line="300" w:lineRule="auto"/>
        <w:rPr>
          <w:lang w:val="en-US"/>
        </w:rPr>
      </w:pPr>
      <w:r>
        <w:rPr>
          <w:lang w:val="en-US"/>
        </w:rPr>
        <w:t>Engaging an architecture firm with no rollout infrastructure. A generalist commercial architect can design a beautiful single location. What they typically don't have is a system for prototype version control, concurrent project management across multiple sites, or a process for enforcing brand standards consistently as the pipeline grows. That gap doesn't show up on location one. It shows up on location three.</w:t>
      </w:r>
    </w:p>
    <w:p w14:paraId="5E1E6C11" w14:textId="77777777" w:rsidR="007303B5" w:rsidRPr="00796D30" w:rsidRDefault="00F66824">
      <w:pPr>
        <w:pStyle w:val="Ttulo2"/>
        <w:rPr>
          <w:lang w:val="en-US"/>
        </w:rPr>
      </w:pPr>
      <w:r>
        <w:rPr>
          <w:lang w:val="en-US"/>
        </w:rPr>
        <w:t>Why This Matters Most for Multi-Unit Operators</w:t>
      </w:r>
    </w:p>
    <w:p w14:paraId="5024BC50" w14:textId="77777777" w:rsidR="007303B5" w:rsidRPr="00796D30" w:rsidRDefault="00F66824">
      <w:pPr>
        <w:spacing w:after="200" w:line="300" w:lineRule="auto"/>
        <w:rPr>
          <w:lang w:val="en-US"/>
        </w:rPr>
      </w:pPr>
      <w:r>
        <w:rPr>
          <w:lang w:val="en-US"/>
        </w:rPr>
        <w:t>For an operator opening a single location, some inefficiency in the process is an inconvenience. For an operator moving from single-unit to multi-unit — with a development agreement, a franchisor timeline, and capital tied to each opening — the same inefficiency compounds across every location in the pipeline. This is the point at which the architecture relationship stops being a vendor engagement and starts being rollout infrastructure: prototype governance, multi-state licensure, and a permitting process built to run several locations at once rather than one at a time.</w:t>
      </w:r>
    </w:p>
    <w:p w14:paraId="43E9AF77" w14:textId="77777777" w:rsidR="00FE7296" w:rsidRPr="00053740" w:rsidRDefault="00FE7296">
      <w:pPr>
        <w:pStyle w:val="Ttulo2"/>
        <w:rPr>
          <w:lang w:val="en-US"/>
        </w:rPr>
      </w:pPr>
      <w:r>
        <w:rPr>
          <w:lang w:val="en-US"/>
        </w:rPr>
        <w:lastRenderedPageBreak/>
        <w:t>Frequently Asked Questions</w:t>
      </w:r>
    </w:p>
    <w:p w14:paraId="314A34CF" w14:textId="77777777" w:rsidR="00FE7296" w:rsidRPr="00053740" w:rsidRDefault="00FE7296">
      <w:pPr>
        <w:pStyle w:val="Ttulo3"/>
        <w:rPr>
          <w:lang w:val="en-US"/>
        </w:rPr>
      </w:pPr>
      <w:r>
        <w:rPr>
          <w:lang w:val="en-US"/>
        </w:rPr>
        <w:t>What are the main phases of opening a new franchise location?</w:t>
      </w:r>
    </w:p>
    <w:p w14:paraId="4DB18353" w14:textId="77777777" w:rsidR="00FE7296" w:rsidRPr="00053740" w:rsidRDefault="00FE7296">
      <w:pPr>
        <w:spacing w:after="200" w:line="300" w:lineRule="auto"/>
        <w:rPr>
          <w:lang w:val="en-US"/>
        </w:rPr>
      </w:pPr>
      <w:r>
        <w:rPr>
          <w:lang w:val="en-US"/>
        </w:rPr>
        <w:t>Prototype package review, site due diligence, schematic design and design development, construction documents, QA review, permit submission and plan check, franchisor deliverable handoff, and construction-phase support.</w:t>
      </w:r>
    </w:p>
    <w:p w14:paraId="6988AE54" w14:textId="77777777" w:rsidR="00FE7296" w:rsidRPr="00053740" w:rsidRDefault="00FE7296">
      <w:pPr>
        <w:pStyle w:val="Ttulo3"/>
        <w:rPr>
          <w:lang w:val="en-US"/>
        </w:rPr>
      </w:pPr>
      <w:r>
        <w:rPr>
          <w:lang w:val="en-US"/>
        </w:rPr>
        <w:t>How long does it take to open a new franchise location?</w:t>
      </w:r>
    </w:p>
    <w:p w14:paraId="0BB8B32A" w14:textId="77777777" w:rsidR="00FE7296" w:rsidRPr="00053740" w:rsidRDefault="00FE7296">
      <w:pPr>
        <w:spacing w:after="200" w:line="300" w:lineRule="auto"/>
        <w:rPr>
          <w:lang w:val="en-US"/>
        </w:rPr>
      </w:pPr>
      <w:r>
        <w:rPr>
          <w:lang w:val="en-US"/>
        </w:rPr>
        <w:t>Timelines vary by phase — test fits can turn around in 36 to 72 hours, SD/DD and CD production are relatively predictable, but permitting depends entirely on the jurisdiction and resists a single national estimate.</w:t>
      </w:r>
    </w:p>
    <w:p w14:paraId="489D4038" w14:textId="77777777" w:rsidR="00FE7296" w:rsidRPr="00053740" w:rsidRDefault="00FE7296">
      <w:pPr>
        <w:pStyle w:val="Ttulo3"/>
        <w:rPr>
          <w:lang w:val="en-US"/>
        </w:rPr>
      </w:pPr>
      <w:r>
        <w:rPr>
          <w:lang w:val="en-US"/>
        </w:rPr>
        <w:t>Does opening a second location get easier than the first?</w:t>
      </w:r>
    </w:p>
    <w:p w14:paraId="6890ED33" w14:textId="77777777" w:rsidR="00FE7296" w:rsidRPr="00053740" w:rsidRDefault="00FE7296">
      <w:pPr>
        <w:spacing w:after="200" w:line="300" w:lineRule="auto"/>
        <w:rPr>
          <w:lang w:val="en-US"/>
        </w:rPr>
      </w:pPr>
      <w:r>
        <w:rPr>
          <w:lang w:val="en-US"/>
        </w:rPr>
        <w:t>Not automatically. Different sites carry different infrastructure and code requirements, and treating location two as a copy of location one is a common source of budget and schedule surprises.</w:t>
      </w:r>
    </w:p>
    <w:p w14:paraId="08BD2A7E" w14:textId="77777777" w:rsidR="00FE7296" w:rsidRPr="00053740" w:rsidRDefault="00FE7296">
      <w:pPr>
        <w:pStyle w:val="Ttulo3"/>
        <w:rPr>
          <w:lang w:val="en-US"/>
        </w:rPr>
      </w:pPr>
      <w:r>
        <w:rPr>
          <w:lang w:val="en-US"/>
        </w:rPr>
        <w:t>What’s the biggest mistake multi-unit operators make when opening new locations?</w:t>
      </w:r>
    </w:p>
    <w:p w14:paraId="189F8426" w14:textId="77777777" w:rsidR="00FE7296" w:rsidRPr="00053740" w:rsidRDefault="00FE7296">
      <w:pPr>
        <w:spacing w:after="200" w:line="300" w:lineRule="auto"/>
        <w:rPr>
          <w:lang w:val="en-US"/>
        </w:rPr>
      </w:pPr>
      <w:r>
        <w:rPr>
          <w:lang w:val="en-US"/>
        </w:rPr>
        <w:t>Assuming the process replicates itself automatically, underestimating how much permit timelines vary by jurisdiction, and engaging an architecture firm with no rollout infrastructure.</w:t>
      </w:r>
    </w:p>
    <w:p w14:paraId="4C98FDFE" w14:textId="77777777" w:rsidR="00FE7296" w:rsidRPr="00053740" w:rsidRDefault="00FE7296">
      <w:pPr>
        <w:pStyle w:val="Ttulo3"/>
        <w:rPr>
          <w:lang w:val="en-US"/>
        </w:rPr>
      </w:pPr>
      <w:r>
        <w:rPr>
          <w:lang w:val="en-US"/>
        </w:rPr>
        <w:t>What should I have ready before signing a lease on a new location?</w:t>
      </w:r>
    </w:p>
    <w:p w14:paraId="18B53D43" w14:textId="77777777" w:rsidR="00FE7296" w:rsidRPr="00053740" w:rsidRDefault="00FE7296">
      <w:pPr>
        <w:spacing w:after="200" w:line="300" w:lineRule="auto"/>
        <w:rPr>
          <w:lang w:val="en-US"/>
        </w:rPr>
      </w:pPr>
      <w:r>
        <w:rPr>
          <w:lang w:val="en-US"/>
        </w:rPr>
        <w:t>The franchisor’s current prototype package and, ideally, an architecture partner ready to run site due diligence quickly — infrastructure issues like electrical capacity, plumbing, grease interceptors, or HVAC tonnage are cheaper to catch before the lease is signed than after.</w:t>
      </w:r>
    </w:p>
    <w:p w14:paraId="2C5937BC" w14:textId="77777777" w:rsidR="007303B5" w:rsidRPr="00796D30" w:rsidRDefault="007303B5">
      <w:pPr>
        <w:pBdr>
          <w:bottom w:val="single" w:sz="6" w:space="4" w:color="C8A84B"/>
        </w:pBdr>
        <w:spacing w:before="100" w:after="300"/>
        <w:rPr>
          <w:lang w:val="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303B5" w:rsidRPr="00796D30" w14:paraId="5D317EBD" w14:textId="77777777">
        <w:tc>
          <w:tcPr>
            <w:tcW w:w="9360" w:type="dxa"/>
            <w:tcBorders>
              <w:top w:val="single" w:sz="4" w:space="0" w:color="C8A84B"/>
              <w:left w:val="single" w:sz="4" w:space="0" w:color="C8A84B"/>
              <w:bottom w:val="single" w:sz="4" w:space="0" w:color="C8A84B"/>
              <w:right w:val="single" w:sz="4" w:space="0" w:color="C8A84B"/>
            </w:tcBorders>
            <w:shd w:val="clear" w:color="auto" w:fill="142850"/>
            <w:tcMar>
              <w:top w:w="220" w:type="dxa"/>
              <w:left w:w="260" w:type="dxa"/>
              <w:bottom w:w="220" w:type="dxa"/>
              <w:right w:w="260" w:type="dxa"/>
            </w:tcMar>
          </w:tcPr>
          <w:p w14:paraId="75BBE5A2" w14:textId="77777777" w:rsidR="007303B5" w:rsidRPr="00796D30" w:rsidRDefault="00F66824">
            <w:pPr>
              <w:spacing w:after="120" w:line="300" w:lineRule="auto"/>
              <w:rPr>
                <w:lang w:val="en-US"/>
              </w:rPr>
            </w:pPr>
            <w:r>
              <w:rPr>
                <w:b/>
                <w:bCs/>
                <w:color w:val="FFFFFF"/>
                <w:sz w:val="24"/>
                <w:szCs w:val="24"/>
                <w:lang w:val="en-US"/>
              </w:rPr>
              <w:t>Built for Franchise Rollout, Not One-Off Projects</w:t>
            </w:r>
          </w:p>
          <w:p w14:paraId="44657CD9" w14:textId="77777777" w:rsidR="007303B5" w:rsidRPr="00796D30" w:rsidRDefault="00F66824">
            <w:pPr>
              <w:spacing w:after="120" w:line="300" w:lineRule="auto"/>
              <w:rPr>
                <w:lang w:val="en-US"/>
              </w:rPr>
            </w:pPr>
            <w:r>
              <w:rPr>
                <w:color w:val="FFFFFF"/>
                <w:sz w:val="20"/>
                <w:szCs w:val="20"/>
                <w:lang w:val="en-US"/>
              </w:rPr>
              <w:t>Brand2Builds has spent 20+ years turning franchise prototypes into permitted, brand-consistent locations across multiple states — with test fits delivered in 36 to 72 hours. Our portfolio includes multi-unit rollouts for brands like Capital Tacos, Pollo Tropical, and Burger Fi.</w:t>
            </w:r>
          </w:p>
          <w:p w14:paraId="04737A8F" w14:textId="77777777" w:rsidR="007303B5" w:rsidRPr="00796D30" w:rsidRDefault="00F66824">
            <w:pPr>
              <w:spacing w:line="300" w:lineRule="auto"/>
              <w:rPr>
                <w:lang w:val="en-US"/>
              </w:rPr>
            </w:pPr>
            <w:r>
              <w:rPr>
                <w:color w:val="FFFFFF"/>
                <w:sz w:val="20"/>
                <w:szCs w:val="20"/>
                <w:lang w:val="en-US"/>
              </w:rPr>
              <w:t>Learn more at brand2builds.com/services or contact our team to talk through your next location.</w:t>
            </w:r>
          </w:p>
        </w:tc>
      </w:tr>
    </w:tbl>
    <w:p w14:paraId="4ED7FABE" w14:textId="77777777" w:rsidR="00F66824" w:rsidRPr="00796D30" w:rsidRDefault="00F66824">
      <w:pPr>
        <w:rPr>
          <w:lang w:val="en-US"/>
        </w:rPr>
      </w:pPr>
    </w:p>
    <w:sectPr w:rsidR="00F66824" w:rsidRPr="00796D30">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230EB" w14:textId="77777777" w:rsidR="00FE7296" w:rsidRDefault="00FE7296">
      <w:r>
        <w:separator/>
      </w:r>
    </w:p>
  </w:endnote>
  <w:endnote w:type="continuationSeparator" w:id="0">
    <w:p w14:paraId="7ECAFA04" w14:textId="77777777" w:rsidR="00FE7296" w:rsidRDefault="00FE7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E030" w14:textId="77777777" w:rsidR="007303B5" w:rsidRDefault="00F66824">
    <w:pPr>
      <w:jc w:val="center"/>
    </w:pPr>
    <w:r>
      <w:rPr>
        <w:color w:val="999999"/>
        <w:sz w:val="16"/>
        <w:szCs w:val="16"/>
      </w:rPr>
      <w:t>Brand2</w:t>
    </w:r>
    <w:proofErr w:type="gramStart"/>
    <w:r>
      <w:rPr>
        <w:color w:val="999999"/>
        <w:sz w:val="16"/>
        <w:szCs w:val="16"/>
      </w:rPr>
      <w:t>Builds  |</w:t>
    </w:r>
    <w:proofErr w:type="gramEnd"/>
    <w:r>
      <w:rPr>
        <w:color w:val="999999"/>
        <w:sz w:val="16"/>
        <w:szCs w:val="16"/>
      </w:rPr>
      <w:t xml:space="preserve">  Page </w:t>
    </w:r>
    <w:r>
      <w:rPr>
        <w:color w:val="999999"/>
        <w:sz w:val="16"/>
        <w:szCs w:val="16"/>
      </w:rPr>
      <w:fldChar w:fldCharType="begin"/>
    </w:r>
    <w:r>
      <w:rPr>
        <w:color w:val="999999"/>
        <w:sz w:val="16"/>
        <w:szCs w:val="16"/>
      </w:rPr>
      <w:instrText>PAGE</w:instrText>
    </w:r>
    <w:r>
      <w:rPr>
        <w:color w:val="999999"/>
        <w:sz w:val="16"/>
        <w:szCs w:val="16"/>
      </w:rPr>
      <w:fldChar w:fldCharType="separate"/>
    </w:r>
    <w:r w:rsidR="00796D30">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2020" w14:textId="77777777" w:rsidR="00FE7296" w:rsidRDefault="00FE7296">
      <w:r>
        <w:separator/>
      </w:r>
    </w:p>
  </w:footnote>
  <w:footnote w:type="continuationSeparator" w:id="0">
    <w:p w14:paraId="0AB44B0C" w14:textId="77777777" w:rsidR="00FE7296" w:rsidRDefault="00FE7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7422A"/>
    <w:multiLevelType w:val="hybridMultilevel"/>
    <w:tmpl w:val="1D885994"/>
    <w:lvl w:ilvl="0" w:tplc="144AB078">
      <w:start w:val="1"/>
      <w:numFmt w:val="decimal"/>
      <w:lvlText w:val="%1."/>
      <w:lvlJc w:val="left"/>
      <w:pPr>
        <w:ind w:left="720" w:hanging="360"/>
      </w:pPr>
    </w:lvl>
    <w:lvl w:ilvl="1" w:tplc="7C66C964">
      <w:numFmt w:val="decimal"/>
      <w:lvlText w:val=""/>
      <w:lvlJc w:val="left"/>
    </w:lvl>
    <w:lvl w:ilvl="2" w:tplc="869CA8BA">
      <w:numFmt w:val="decimal"/>
      <w:lvlText w:val=""/>
      <w:lvlJc w:val="left"/>
    </w:lvl>
    <w:lvl w:ilvl="3" w:tplc="5944D994">
      <w:numFmt w:val="decimal"/>
      <w:lvlText w:val=""/>
      <w:lvlJc w:val="left"/>
    </w:lvl>
    <w:lvl w:ilvl="4" w:tplc="931054AA">
      <w:numFmt w:val="decimal"/>
      <w:lvlText w:val=""/>
      <w:lvlJc w:val="left"/>
    </w:lvl>
    <w:lvl w:ilvl="5" w:tplc="8318B3B6">
      <w:numFmt w:val="decimal"/>
      <w:lvlText w:val=""/>
      <w:lvlJc w:val="left"/>
    </w:lvl>
    <w:lvl w:ilvl="6" w:tplc="F1C4A4EC">
      <w:numFmt w:val="decimal"/>
      <w:lvlText w:val=""/>
      <w:lvlJc w:val="left"/>
    </w:lvl>
    <w:lvl w:ilvl="7" w:tplc="851AC0E2">
      <w:numFmt w:val="decimal"/>
      <w:lvlText w:val=""/>
      <w:lvlJc w:val="left"/>
    </w:lvl>
    <w:lvl w:ilvl="8" w:tplc="10503DF0">
      <w:numFmt w:val="decimal"/>
      <w:lvlText w:val=""/>
      <w:lvlJc w:val="left"/>
    </w:lvl>
  </w:abstractNum>
  <w:abstractNum w:abstractNumId="1" w15:restartNumberingAfterBreak="0">
    <w:nsid w:val="36CE2B2B"/>
    <w:multiLevelType w:val="hybridMultilevel"/>
    <w:tmpl w:val="9F7A82CE"/>
    <w:lvl w:ilvl="0" w:tplc="77626B5C">
      <w:start w:val="1"/>
      <w:numFmt w:val="decimal"/>
      <w:lvlText w:val="%1."/>
      <w:lvlJc w:val="left"/>
      <w:pPr>
        <w:ind w:left="720" w:hanging="360"/>
      </w:pPr>
    </w:lvl>
    <w:lvl w:ilvl="1" w:tplc="14A8D9AC">
      <w:numFmt w:val="decimal"/>
      <w:lvlText w:val=""/>
      <w:lvlJc w:val="left"/>
    </w:lvl>
    <w:lvl w:ilvl="2" w:tplc="2278D4EC">
      <w:numFmt w:val="decimal"/>
      <w:lvlText w:val=""/>
      <w:lvlJc w:val="left"/>
    </w:lvl>
    <w:lvl w:ilvl="3" w:tplc="09DC9CBC">
      <w:numFmt w:val="decimal"/>
      <w:lvlText w:val=""/>
      <w:lvlJc w:val="left"/>
    </w:lvl>
    <w:lvl w:ilvl="4" w:tplc="401A7AAC">
      <w:numFmt w:val="decimal"/>
      <w:lvlText w:val=""/>
      <w:lvlJc w:val="left"/>
    </w:lvl>
    <w:lvl w:ilvl="5" w:tplc="888A8174">
      <w:numFmt w:val="decimal"/>
      <w:lvlText w:val=""/>
      <w:lvlJc w:val="left"/>
    </w:lvl>
    <w:lvl w:ilvl="6" w:tplc="DD5EF83C">
      <w:numFmt w:val="decimal"/>
      <w:lvlText w:val=""/>
      <w:lvlJc w:val="left"/>
    </w:lvl>
    <w:lvl w:ilvl="7" w:tplc="BACA5ACE">
      <w:numFmt w:val="decimal"/>
      <w:lvlText w:val=""/>
      <w:lvlJc w:val="left"/>
    </w:lvl>
    <w:lvl w:ilvl="8" w:tplc="07DCCA6A">
      <w:numFmt w:val="decimal"/>
      <w:lvlText w:val=""/>
      <w:lvlJc w:val="left"/>
    </w:lvl>
  </w:abstractNum>
  <w:abstractNum w:abstractNumId="2" w15:restartNumberingAfterBreak="0">
    <w:nsid w:val="3A811AA4"/>
    <w:multiLevelType w:val="hybridMultilevel"/>
    <w:tmpl w:val="096481A4"/>
    <w:lvl w:ilvl="0" w:tplc="0526049C">
      <w:start w:val="1"/>
      <w:numFmt w:val="bullet"/>
      <w:lvlText w:val="●"/>
      <w:lvlJc w:val="left"/>
      <w:pPr>
        <w:ind w:left="720" w:hanging="360"/>
      </w:pPr>
    </w:lvl>
    <w:lvl w:ilvl="1" w:tplc="3E84B828">
      <w:start w:val="1"/>
      <w:numFmt w:val="bullet"/>
      <w:lvlText w:val="○"/>
      <w:lvlJc w:val="left"/>
      <w:pPr>
        <w:ind w:left="1440" w:hanging="360"/>
      </w:pPr>
    </w:lvl>
    <w:lvl w:ilvl="2" w:tplc="80C0AE58">
      <w:start w:val="1"/>
      <w:numFmt w:val="bullet"/>
      <w:lvlText w:val="■"/>
      <w:lvlJc w:val="left"/>
      <w:pPr>
        <w:ind w:left="2160" w:hanging="360"/>
      </w:pPr>
    </w:lvl>
    <w:lvl w:ilvl="3" w:tplc="DFDA2F80">
      <w:start w:val="1"/>
      <w:numFmt w:val="bullet"/>
      <w:lvlText w:val="●"/>
      <w:lvlJc w:val="left"/>
      <w:pPr>
        <w:ind w:left="2880" w:hanging="360"/>
      </w:pPr>
    </w:lvl>
    <w:lvl w:ilvl="4" w:tplc="B5CAB21A">
      <w:start w:val="1"/>
      <w:numFmt w:val="bullet"/>
      <w:lvlText w:val="○"/>
      <w:lvlJc w:val="left"/>
      <w:pPr>
        <w:ind w:left="3600" w:hanging="360"/>
      </w:pPr>
    </w:lvl>
    <w:lvl w:ilvl="5" w:tplc="28D6EE20">
      <w:start w:val="1"/>
      <w:numFmt w:val="bullet"/>
      <w:lvlText w:val="■"/>
      <w:lvlJc w:val="left"/>
      <w:pPr>
        <w:ind w:left="4320" w:hanging="360"/>
      </w:pPr>
    </w:lvl>
    <w:lvl w:ilvl="6" w:tplc="D82A4E8E">
      <w:start w:val="1"/>
      <w:numFmt w:val="bullet"/>
      <w:lvlText w:val="●"/>
      <w:lvlJc w:val="left"/>
      <w:pPr>
        <w:ind w:left="5040" w:hanging="360"/>
      </w:pPr>
    </w:lvl>
    <w:lvl w:ilvl="7" w:tplc="0E065E28">
      <w:start w:val="1"/>
      <w:numFmt w:val="bullet"/>
      <w:lvlText w:val="●"/>
      <w:lvlJc w:val="left"/>
      <w:pPr>
        <w:ind w:left="5760" w:hanging="360"/>
      </w:pPr>
    </w:lvl>
    <w:lvl w:ilvl="8" w:tplc="76ECCAF4">
      <w:start w:val="1"/>
      <w:numFmt w:val="bullet"/>
      <w:lvlText w:val="●"/>
      <w:lvlJc w:val="left"/>
      <w:pPr>
        <w:ind w:left="6480" w:hanging="360"/>
      </w:pPr>
    </w:lvl>
  </w:abstractNum>
  <w:abstractNum w:abstractNumId="3" w15:restartNumberingAfterBreak="0">
    <w:nsid w:val="5CB144D2"/>
    <w:multiLevelType w:val="hybridMultilevel"/>
    <w:tmpl w:val="BED69C2A"/>
    <w:lvl w:ilvl="0" w:tplc="A57ACA26">
      <w:start w:val="1"/>
      <w:numFmt w:val="bullet"/>
      <w:lvlText w:val="•"/>
      <w:lvlJc w:val="left"/>
      <w:pPr>
        <w:ind w:left="720" w:hanging="360"/>
      </w:pPr>
    </w:lvl>
    <w:lvl w:ilvl="1" w:tplc="8E7A7160">
      <w:numFmt w:val="decimal"/>
      <w:lvlText w:val=""/>
      <w:lvlJc w:val="left"/>
    </w:lvl>
    <w:lvl w:ilvl="2" w:tplc="DC820656">
      <w:numFmt w:val="decimal"/>
      <w:lvlText w:val=""/>
      <w:lvlJc w:val="left"/>
    </w:lvl>
    <w:lvl w:ilvl="3" w:tplc="84F88DA8">
      <w:numFmt w:val="decimal"/>
      <w:lvlText w:val=""/>
      <w:lvlJc w:val="left"/>
    </w:lvl>
    <w:lvl w:ilvl="4" w:tplc="F5D204E6">
      <w:numFmt w:val="decimal"/>
      <w:lvlText w:val=""/>
      <w:lvlJc w:val="left"/>
    </w:lvl>
    <w:lvl w:ilvl="5" w:tplc="2C40E4AA">
      <w:numFmt w:val="decimal"/>
      <w:lvlText w:val=""/>
      <w:lvlJc w:val="left"/>
    </w:lvl>
    <w:lvl w:ilvl="6" w:tplc="D4507F24">
      <w:numFmt w:val="decimal"/>
      <w:lvlText w:val=""/>
      <w:lvlJc w:val="left"/>
    </w:lvl>
    <w:lvl w:ilvl="7" w:tplc="E9D2A2E2">
      <w:numFmt w:val="decimal"/>
      <w:lvlText w:val=""/>
      <w:lvlJc w:val="left"/>
    </w:lvl>
    <w:lvl w:ilvl="8" w:tplc="3DF8B4A4">
      <w:numFmt w:val="decimal"/>
      <w:lvlText w:val=""/>
      <w:lvlJc w:val="left"/>
    </w:lvl>
  </w:abstractNum>
  <w:num w:numId="1" w16cid:durableId="154763208">
    <w:abstractNumId w:val="2"/>
    <w:lvlOverride w:ilvl="0">
      <w:startOverride w:val="1"/>
    </w:lvlOverride>
  </w:num>
  <w:num w:numId="2" w16cid:durableId="122679415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3B5"/>
    <w:rsid w:val="007303B5"/>
    <w:rsid w:val="00796D30"/>
    <w:rsid w:val="00800607"/>
    <w:rsid w:val="00D169F5"/>
    <w:rsid w:val="00E80B51"/>
    <w:rsid w:val="00F66824"/>
    <w:rsid w:val="00FE72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6545"/>
  <w15:docId w15:val="{338F311F-BD25-43AC-A7F0-5F0D9D360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after="240"/>
      <w:outlineLvl w:val="0"/>
    </w:pPr>
    <w:rPr>
      <w:b/>
      <w:bCs/>
      <w:color w:val="142850"/>
      <w:sz w:val="40"/>
      <w:szCs w:val="40"/>
    </w:rPr>
  </w:style>
  <w:style w:type="paragraph" w:styleId="Ttulo2">
    <w:name w:val="heading 2"/>
    <w:uiPriority w:val="9"/>
    <w:unhideWhenUsed/>
    <w:qFormat/>
    <w:pPr>
      <w:spacing w:before="340" w:after="160"/>
      <w:outlineLvl w:val="1"/>
    </w:pPr>
    <w:rPr>
      <w:b/>
      <w:bCs/>
      <w:color w:val="142850"/>
      <w:sz w:val="27"/>
      <w:szCs w:val="27"/>
    </w:rPr>
  </w:style>
  <w:style w:type="paragraph" w:styleId="Ttulo3">
    <w:name w:val="heading 3"/>
    <w:uiPriority w:val="9"/>
    <w:unhideWhenUsed/>
    <w:qFormat/>
    <w:pPr>
      <w:spacing w:before="220" w:after="100"/>
      <w:outlineLvl w:val="2"/>
    </w:pPr>
    <w:rPr>
      <w:b/>
      <w:bCs/>
      <w:color w:val="C8A84B"/>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1426</Words>
  <Characters>7845</Characters>
  <Application>Microsoft Office Word</Application>
  <DocSecurity>0</DocSecurity>
  <Lines>65</Lines>
  <Paragraphs>18</Paragraphs>
  <ScaleCrop>false</ScaleCrop>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Monica Forero</cp:lastModifiedBy>
  <cp:revision>2</cp:revision>
  <dcterms:created xsi:type="dcterms:W3CDTF">2026-07-16T20:26:00Z</dcterms:created>
  <dcterms:modified xsi:type="dcterms:W3CDTF">2026-07-16T20:26:00Z</dcterms:modified>
</cp:coreProperties>
</file>