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500"/>
        <w:tblBorders>
          <w:top w:val="single" w:color="D9622B" w:sz="4"/>
          <w:left w:val="single" w:color="D9622B" w:sz="4"/>
          <w:bottom w:val="single" w:color="D9622B" w:sz="4"/>
          <w:right w:val="single" w:color="D9622B" w:sz="4"/>
          <w:insideH w:val="single" w:color="DADFE3" w:sz="2"/>
          <w:insideV w:val="single" w:color="DADFE3" w:sz="2"/>
        </w:tblBorders>
      </w:tblPr>
      <w:tblGrid>
        <w:gridCol w:w="2200"/>
        <w:gridCol w:w="7300"/>
      </w:tblGrid>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Title</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How to Speed Up Franchise Openings: 7 Ways to Cut Delays</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Description</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The biggest opportunities to open a franchise location faster happen before construction starts. Here is where rollouts actually lose time, and how to fix it.</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URL Slug</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how-to-speed-up-franchise-openings</w:t>
            </w:r>
          </w:p>
        </w:tc>
      </w:tr>
    </w:tbl>
    <w:p>
      <w:pPr>
        <w:spacing w:after="200"/>
      </w:pPr>
    </w:p>
    <w:p>
      <w:pPr>
        <w:pStyle w:val="Heading1"/>
        <w:spacing w:after="200"/>
      </w:pPr>
      <w:r>
        <w:rPr>
          <w:rFonts w:ascii="Calibri" w:cs="Calibri" w:eastAsia="Calibri" w:hAnsi="Calibri"/>
          <w:b/>
          <w:bCs/>
          <w:color w:val="1E3A5F"/>
          <w:sz w:val="40"/>
          <w:szCs w:val="40"/>
        </w:rPr>
        <w:t xml:space="preserve">How to Speed Up Franchise Openings: 7 Ways to Cut Rollout Delays</w:t>
      </w:r>
    </w:p>
    <w:p>
      <w:pPr>
        <w:pStyle w:val="Heading2"/>
        <w:spacing w:after="160" w:before="320"/>
      </w:pPr>
      <w:r>
        <w:rPr>
          <w:rFonts w:ascii="Calibri" w:cs="Calibri" w:eastAsia="Calibri" w:hAnsi="Calibri"/>
          <w:b/>
          <w:bCs/>
          <w:color w:val="1E3A5F"/>
          <w:sz w:val="28"/>
          <w:szCs w:val="28"/>
        </w:rPr>
        <w:t xml:space="preserve">Speed Starts Before Construction, Not During It</w:t>
      </w:r>
    </w:p>
    <w:p>
      <w:pPr>
        <w:spacing w:after="180" w:line="300"/>
      </w:pPr>
      <w:r>
        <w:rPr>
          <w:rFonts w:ascii="Calibri" w:cs="Calibri" w:eastAsia="Calibri" w:hAnsi="Calibri"/>
          <w:i w:val="false"/>
          <w:iCs w:val="false"/>
          <w:color w:val="333333"/>
          <w:sz w:val="22"/>
          <w:szCs w:val="22"/>
        </w:rPr>
        <w:t>When a franchise opening is running late, the instinct is usually to push the contractor to work faster. In most rollouts, that is not where the time actually went. The biggest opportunities to reduce the overall timeline happen earlier: in site selection and validation, design, permitting and procurement, well before a crew ever mobilizes. Accelerating construction alone rarely fixes a rollout that is slow because of decisions made, or not made, in the months before it. Construction itself is often the most predictable phase of the entire process, because a general contractor can plan and control it once permits are in hand and materials are on site. The phases that precede it are where uncertainty accumulates, and uncertainty is what actually adds weeks to an opening date.</w:t>
      </w:r>
    </w:p>
    <w:p>
      <w:pPr>
        <w:pBdr>
          <w:bottom w:val="single" w:color="D9622B" w:sz="6" w:space="1"/>
        </w:pBdr>
        <w:spacing w:after="200" w:before="200"/>
      </w:pPr>
      <w:r>
        <w:t xml:space="preserve"/>
      </w:r>
    </w:p>
    <w:p>
      <w:pPr>
        <w:pStyle w:val="Heading2"/>
        <w:spacing w:after="160" w:before="320"/>
      </w:pPr>
      <w:r>
        <w:rPr>
          <w:rFonts w:ascii="Calibri" w:cs="Calibri" w:eastAsia="Calibri" w:hAnsi="Calibri"/>
          <w:b/>
          <w:bCs/>
          <w:color w:val="1E3A5F"/>
          <w:sz w:val="28"/>
          <w:szCs w:val="28"/>
        </w:rPr>
        <w:t xml:space="preserve">Where Franchise Rollouts Actually Lose Time</w:t>
      </w:r>
    </w:p>
    <w:p>
      <w:pPr>
        <w:spacing w:after="180" w:line="300"/>
      </w:pPr>
      <w:r>
        <w:rPr>
          <w:rFonts w:ascii="Calibri" w:cs="Calibri" w:eastAsia="Calibri" w:hAnsi="Calibri"/>
          <w:i w:val="false"/>
          <w:iCs w:val="false"/>
          <w:color w:val="333333"/>
          <w:sz w:val="22"/>
          <w:szCs w:val="22"/>
        </w:rPr>
        <w:t xml:space="preserve">Following a typical rollout from site selection through inspections surfaces the same bottlenecks again and again:</w:t>
      </w:r>
    </w:p>
    <w:p>
      <w:pPr>
        <w:pStyle w:val="Heading3"/>
        <w:spacing w:after="120" w:before="220"/>
      </w:pPr>
      <w:r>
        <w:rPr>
          <w:rFonts w:ascii="Calibri" w:cs="Calibri" w:eastAsia="Calibri" w:hAnsi="Calibri"/>
          <w:b/>
          <w:bCs/>
          <w:color w:val="1E3A5F"/>
          <w:sz w:val="24"/>
          <w:szCs w:val="24"/>
        </w:rPr>
        <w:t xml:space="preserve">Site Selection and Validation</w:t>
      </w:r>
    </w:p>
    <w:p>
      <w:pPr>
        <w:spacing w:after="180" w:line="300"/>
      </w:pPr>
      <w:r>
        <w:rPr>
          <w:rFonts w:ascii="Calibri" w:cs="Calibri" w:eastAsia="Calibri" w:hAnsi="Calibri"/>
          <w:i w:val="false"/>
          <w:iCs w:val="false"/>
          <w:color w:val="333333"/>
          <w:sz w:val="22"/>
          <w:szCs w:val="22"/>
        </w:rPr>
        <w:t>Incomplete site information, such as unclear utility locations, unverified zoning, or unconfirmed easements, gets discovered after a lease is signed instead of before, forcing design to restart or adapt mid-process. This is rarely anyone's fault in the moment. A site visit before signing a lease typically covers the obvious conditions, not a full utility locate or a zoning confirmation letter from the municipality, so gaps only surface once a design team starts working from real survey data, and by then the lease is already signed and the clock on the opening date has already started.</w:t>
      </w:r>
    </w:p>
    <w:p>
      <w:pPr>
        <w:pStyle w:val="Heading3"/>
        <w:spacing w:after="120" w:before="220"/>
      </w:pPr>
      <w:r>
        <w:rPr>
          <w:rFonts w:ascii="Calibri" w:cs="Calibri" w:eastAsia="Calibri" w:hAnsi="Calibri"/>
          <w:b/>
          <w:bCs/>
          <w:color w:val="1E3A5F"/>
          <w:sz w:val="24"/>
          <w:szCs w:val="24"/>
        </w:rPr>
        <w:t xml:space="preserve">Design</w:t>
      </w:r>
    </w:p>
    <w:p>
      <w:pPr>
        <w:spacing w:after="180" w:line="300"/>
      </w:pPr>
      <w:r>
        <w:rPr>
          <w:rFonts w:ascii="Calibri" w:cs="Calibri" w:eastAsia="Calibri" w:hAnsi="Calibri"/>
          <w:i w:val="false"/>
          <w:iCs w:val="false"/>
          <w:color w:val="333333"/>
          <w:sz w:val="22"/>
          <w:szCs w:val="22"/>
        </w:rPr>
        <w:t>Late design decisions, especially from franchisor or franchisee stakeholders who have not been looped in early, cause redesign cycles that push the entire schedule back. A single unresolved decision, such as a finish selection the franchisor has not signed off on or a layout question the franchisee wants to revisit, can hold an entire design package in limbo. Multiply that across several open decisions on one project, and it becomes clear why design is often the single largest source of delay in a rollout, even though it rarely gets blamed for it.</w:t>
      </w:r>
    </w:p>
    <w:p>
      <w:pPr>
        <w:pStyle w:val="Heading3"/>
        <w:spacing w:after="120" w:before="220"/>
      </w:pPr>
      <w:r>
        <w:rPr>
          <w:rFonts w:ascii="Calibri" w:cs="Calibri" w:eastAsia="Calibri" w:hAnsi="Calibri"/>
          <w:b/>
          <w:bCs/>
          <w:color w:val="1E3A5F"/>
          <w:sz w:val="24"/>
          <w:szCs w:val="24"/>
        </w:rPr>
        <w:t xml:space="preserve">Permitting</w:t>
      </w:r>
    </w:p>
    <w:p>
      <w:pPr>
        <w:spacing w:after="180" w:line="300"/>
      </w:pPr>
      <w:r>
        <w:rPr>
          <w:rFonts w:ascii="Calibri" w:cs="Calibri" w:eastAsia="Calibri" w:hAnsi="Calibri"/>
          <w:i w:val="false"/>
          <w:iCs w:val="false"/>
          <w:color w:val="333333"/>
          <w:sz w:val="22"/>
          <w:szCs w:val="22"/>
        </w:rPr>
        <w:t>Jurisdiction-specific requirements discovered too late, and permit resubmittals caused by incomplete initial submissions, are two of the most common sources of added weeks in a rollout. Every jurisdiction reviews plans against its own version of the code, its own submission checklist, and its own informal expectations that rarely appear in writing anywhere. A design package built without that local knowledge in advance is more likely to come back with comments, and each round of comments adds another review cycle to the timeline.</w:t>
      </w:r>
    </w:p>
    <w:p>
      <w:pPr>
        <w:pStyle w:val="Heading3"/>
        <w:spacing w:after="120" w:before="220"/>
      </w:pPr>
      <w:r>
        <w:rPr>
          <w:rFonts w:ascii="Calibri" w:cs="Calibri" w:eastAsia="Calibri" w:hAnsi="Calibri"/>
          <w:b/>
          <w:bCs/>
          <w:color w:val="1E3A5F"/>
          <w:sz w:val="24"/>
          <w:szCs w:val="24"/>
        </w:rPr>
        <w:t xml:space="preserve">Procurement</w:t>
      </w:r>
    </w:p>
    <w:p>
      <w:pPr>
        <w:spacing w:after="180" w:line="300"/>
      </w:pPr>
      <w:r>
        <w:rPr>
          <w:rFonts w:ascii="Calibri" w:cs="Calibri" w:eastAsia="Calibri" w:hAnsi="Calibri"/>
          <w:i w:val="false"/>
          <w:iCs w:val="false"/>
          <w:color w:val="333333"/>
          <w:sz w:val="22"/>
          <w:szCs w:val="22"/>
        </w:rPr>
        <w:t>Long-lead FF&amp;E items ordered late because the design was not finalized in time can single-handedly delay an opening date even after construction itself is complete. Certain equipment and fixtures, from custom millwork to specialized kitchen equipment, can carry lead times of two to three months or longer. If the order does not go in until the design is fully finalized, and the design is not finalized until late in the process, that lead time runs concurrently with almost nothing else, extending the opening date directly rather than overlapping with other work already underway.</w:t>
      </w:r>
    </w:p>
    <w:p>
      <w:pPr>
        <w:pStyle w:val="Heading3"/>
        <w:spacing w:after="120" w:before="220"/>
      </w:pPr>
      <w:r>
        <w:rPr>
          <w:rFonts w:ascii="Calibri" w:cs="Calibri" w:eastAsia="Calibri" w:hAnsi="Calibri"/>
          <w:b/>
          <w:bCs/>
          <w:color w:val="1E3A5F"/>
          <w:sz w:val="24"/>
          <w:szCs w:val="24"/>
        </w:rPr>
        <w:t xml:space="preserve">Construction and Inspections</w:t>
      </w:r>
    </w:p>
    <w:p>
      <w:pPr>
        <w:spacing w:after="180" w:line="300"/>
      </w:pPr>
      <w:r>
        <w:rPr>
          <w:rFonts w:ascii="Calibri" w:cs="Calibri" w:eastAsia="Calibri" w:hAnsi="Calibri"/>
          <w:i w:val="false"/>
          <w:iCs w:val="false"/>
          <w:color w:val="333333"/>
          <w:sz w:val="22"/>
          <w:szCs w:val="22"/>
        </w:rPr>
        <w:t>Uncoordinated consultants and unclear responsibilities between the general contractor, architect, and franchisor create gaps where nobody is actively moving the project forward, and failed inspections from incomplete documentation add avoidable resubmittal cycles. A failed inspection rarely means the work itself was done incorrectly. More often it means the documentation supporting that work, whether a permit set revision or an equipment cut sheet, was not on hand at the moment the inspector needed it. That is a coordination failure, not a construction failure, and it is one of the easiest categories of delay to prevent with clear ownership.</w:t>
      </w:r>
    </w:p>
    <w:p>
      <w:pPr>
        <w:pStyle w:val="Heading2"/>
        <w:spacing w:after="160" w:before="320"/>
      </w:pPr>
      <w:r>
        <w:rPr>
          <w:rFonts w:ascii="Calibri" w:cs="Calibri" w:eastAsia="Calibri" w:hAnsi="Calibri"/>
          <w:b/>
          <w:bCs/>
          <w:color w:val="1E3A5F"/>
          <w:sz w:val="28"/>
          <w:szCs w:val="28"/>
        </w:rPr>
        <w:t xml:space="preserve">7 Ways to Cut Rollout Delays</w:t>
      </w:r>
    </w:p>
    <w:p>
      <w:pPr>
        <w:spacing w:after="180" w:line="300"/>
      </w:pPr>
      <w:r>
        <w:rPr>
          <w:rFonts w:ascii="Calibri" w:cs="Calibri" w:eastAsia="Calibri" w:hAnsi="Calibri"/>
          <w:i w:val="false"/>
          <w:iCs w:val="false"/>
          <w:color w:val="333333"/>
          <w:sz w:val="22"/>
          <w:szCs w:val="22"/>
        </w:rPr>
        <w:t xml:space="preserve">None of these require rushing construction. They require eliminating the waiting time that accumulates before and around it.</w:t>
      </w:r>
    </w:p>
    <w:p>
      <w:pPr>
        <w:pStyle w:val="ListParagraph"/>
        <w:numPr>
          <w:ilvl w:val="0"/>
          <w:numId w:val="2"/>
        </w:numPr>
        <w:spacing w:after="100"/>
      </w:pPr>
      <w:r>
        <w:rPr>
          <w:rFonts w:ascii="Calibri" w:cs="Calibri" w:eastAsia="Calibri" w:hAnsi="Calibri"/>
          <w:color w:val="333333"/>
          <w:sz w:val="22"/>
          <w:szCs w:val="22"/>
        </w:rPr>
        <w:t xml:space="preserve">Standardize what can be standardized: a repeatable prototype design reduces the number of decisions that have to be made from scratch at every location</w:t>
      </w:r>
    </w:p>
    <w:p>
      <w:pPr>
        <w:pStyle w:val="ListParagraph"/>
        <w:numPr>
          <w:ilvl w:val="0"/>
          <w:numId w:val="2"/>
        </w:numPr>
        <w:spacing w:after="100"/>
      </w:pPr>
      <w:r>
        <w:rPr>
          <w:rFonts w:ascii="Calibri" w:cs="Calibri" w:eastAsia="Calibri" w:hAnsi="Calibri"/>
          <w:color w:val="333333"/>
          <w:sz w:val="22"/>
          <w:szCs w:val="22"/>
        </w:rPr>
        <w:t xml:space="preserve">Identify jurisdictional requirements early: research permitting and code requirements for each market before design is finalized, not after submission</w:t>
      </w:r>
    </w:p>
    <w:p>
      <w:pPr>
        <w:pStyle w:val="ListParagraph"/>
        <w:numPr>
          <w:ilvl w:val="0"/>
          <w:numId w:val="2"/>
        </w:numPr>
        <w:spacing w:after="100"/>
      </w:pPr>
      <w:r>
        <w:rPr>
          <w:rFonts w:ascii="Calibri" w:cs="Calibri" w:eastAsia="Calibri" w:hAnsi="Calibri"/>
          <w:color w:val="333333"/>
          <w:sz w:val="22"/>
          <w:szCs w:val="22"/>
        </w:rPr>
        <w:t xml:space="preserve">Overlap activities where possible: run permitting review, FF&amp;E procurement, and construction documentation in parallel instead of strictly in sequence</w:t>
      </w:r>
    </w:p>
    <w:p>
      <w:pPr>
        <w:pStyle w:val="ListParagraph"/>
        <w:numPr>
          <w:ilvl w:val="0"/>
          <w:numId w:val="2"/>
        </w:numPr>
        <w:spacing w:after="100"/>
      </w:pPr>
      <w:r>
        <w:rPr>
          <w:rFonts w:ascii="Calibri" w:cs="Calibri" w:eastAsia="Calibri" w:hAnsi="Calibri"/>
          <w:color w:val="333333"/>
          <w:sz w:val="22"/>
          <w:szCs w:val="22"/>
        </w:rPr>
        <w:t xml:space="preserve">Establish decision deadlines: give franchisor and franchisee stakeholders a firm date to approve design decisions, with a default path if the deadline passes</w:t>
      </w:r>
    </w:p>
    <w:p>
      <w:pPr>
        <w:pStyle w:val="ListParagraph"/>
        <w:numPr>
          <w:ilvl w:val="0"/>
          <w:numId w:val="2"/>
        </w:numPr>
        <w:spacing w:after="100"/>
      </w:pPr>
      <w:r>
        <w:rPr>
          <w:rFonts w:ascii="Calibri" w:cs="Calibri" w:eastAsia="Calibri" w:hAnsi="Calibri"/>
          <w:color w:val="333333"/>
          <w:sz w:val="22"/>
          <w:szCs w:val="22"/>
        </w:rPr>
        <w:t xml:space="preserve">Track the critical path: identify which specific tasks actually determine the opening date, and focus management attention there instead of spreading it evenly</w:t>
      </w:r>
    </w:p>
    <w:p>
      <w:pPr>
        <w:pStyle w:val="ListParagraph"/>
        <w:numPr>
          <w:ilvl w:val="0"/>
          <w:numId w:val="2"/>
        </w:numPr>
        <w:spacing w:after="100"/>
      </w:pPr>
      <w:r>
        <w:rPr>
          <w:rFonts w:ascii="Calibri" w:cs="Calibri" w:eastAsia="Calibri" w:hAnsi="Calibri"/>
          <w:color w:val="333333"/>
          <w:sz w:val="22"/>
          <w:szCs w:val="22"/>
        </w:rPr>
        <w:t xml:space="preserve">Maintain visibility across every location in the rollout: a shared tracking system catches a stalled location before it becomes a crisis, especially once a brand is running multiple locations at once</w:t>
      </w:r>
    </w:p>
    <w:p>
      <w:pPr>
        <w:pStyle w:val="ListParagraph"/>
        <w:numPr>
          <w:ilvl w:val="0"/>
          <w:numId w:val="2"/>
        </w:numPr>
        <w:spacing w:after="100"/>
      </w:pPr>
      <w:r>
        <w:rPr>
          <w:rFonts w:ascii="Calibri" w:cs="Calibri" w:eastAsia="Calibri" w:hAnsi="Calibri"/>
          <w:color w:val="333333"/>
          <w:sz w:val="22"/>
          <w:szCs w:val="22"/>
        </w:rPr>
        <w:t xml:space="preserve">Coordinate consultants proactively: assign clear ownership for keeping the architect, engineers, and contractor aligned, rather than leaving coordination to happen by email as issues arise</w:t>
      </w:r>
    </w:p>
    <w:p>
      <w:pPr>
        <w:pStyle w:val="Heading3"/>
        <w:spacing w:after="120" w:before="220"/>
      </w:pPr>
      <w:r>
        <w:rPr>
          <w:rFonts w:ascii="Calibri" w:cs="Calibri" w:eastAsia="Calibri" w:hAnsi="Calibri"/>
          <w:b/>
          <w:bCs/>
          <w:color w:val="1E3A5F"/>
          <w:sz w:val="24"/>
          <w:szCs w:val="24"/>
        </w:rPr>
        <w:t xml:space="preserve">Putting the Seven Actions in Sequence</w:t>
      </w:r>
    </w:p>
    <w:p>
      <w:pPr>
        <w:spacing w:after="180" w:line="300"/>
      </w:pPr>
      <w:r>
        <w:rPr>
          <w:rFonts w:ascii="Calibri" w:cs="Calibri" w:eastAsia="Calibri" w:hAnsi="Calibri"/>
          <w:i w:val="false"/>
          <w:iCs w:val="false"/>
          <w:color w:val="333333"/>
          <w:sz w:val="22"/>
          <w:szCs w:val="22"/>
        </w:rPr>
        <w:t xml:space="preserve">These seven actions are not equally weighted, and applying them out of order limits how much time they actually save. Standardizing the prototype and identifying jurisdictional requirements belong at the very start of a project, before design work begins, because they shape decisions everything downstream depends on. Overlapping activities and establishing decision deadlines apply throughout design and permitting. Tracking the critical path and maintaining visibility across locations become most valuable once several projects are moving simultaneously, which is exactly the point at which an informal process starts to break down. Coordinating consultants proactively runs the entire length of the project, from the first design meeting through final inspection.</w:t>
      </w:r>
    </w:p>
    <w:p>
      <w:pPr>
        <w:pStyle w:val="Heading2"/>
        <w:spacing w:after="160" w:before="320"/>
      </w:pPr>
      <w:r>
        <w:rPr>
          <w:rFonts w:ascii="Calibri" w:cs="Calibri" w:eastAsia="Calibri" w:hAnsi="Calibri"/>
          <w:b/>
          <w:bCs/>
          <w:color w:val="1E3A5F"/>
          <w:sz w:val="28"/>
          <w:szCs w:val="28"/>
        </w:rPr>
        <w:t xml:space="preserve">Turning the List Into a Repeatable Checklist</w:t>
      </w:r>
    </w:p>
    <w:p>
      <w:pPr>
        <w:spacing w:after="180" w:line="300"/>
      </w:pPr>
      <w:r>
        <w:rPr>
          <w:rFonts w:ascii="Calibri" w:cs="Calibri" w:eastAsia="Calibri" w:hAnsi="Calibri"/>
          <w:i w:val="false"/>
          <w:iCs w:val="false"/>
          <w:color w:val="333333"/>
          <w:sz w:val="22"/>
          <w:szCs w:val="22"/>
        </w:rPr>
        <w:t>The seven actions above work best when they are treated as a standing checklist applied to every location, not a one-time fix for whichever project is currently behind schedule. Before each new site moves from selection into design, a development team can walk through the list and confirm: has the site been fully validated, are jurisdictional requirements documented, is there a decision deadline on the calendar for open design questions, and has procurement started on anything with a long lead time. Applied consistently, this turns rollout speed from something that depends on how hard one project manager pushes into something the process itself protects. That distinction matters more than it sounds. A process that depends on one person's judgment and memory is fragile the moment that person is stretched across too many projects at once, which is precisely what happens as a rollout scales. A checklist applied consistently does not require the same person to catch every issue personally; it requires the team to answer the same questions at the same point in every project.</w:t>
      </w:r>
    </w:p>
    <w:p>
      <w:pPr>
        <w:pStyle w:val="Heading2"/>
        <w:spacing w:after="160" w:before="320"/>
      </w:pPr>
      <w:r>
        <w:rPr>
          <w:rFonts w:ascii="Calibri" w:cs="Calibri" w:eastAsia="Calibri" w:hAnsi="Calibri"/>
          <w:b/>
          <w:bCs/>
          <w:color w:val="1E3A5F"/>
          <w:sz w:val="28"/>
          <w:szCs w:val="28"/>
        </w:rPr>
        <w:t xml:space="preserve">Why the Process That Worked for 5 Locations Breaks at 20</w:t>
      </w:r>
    </w:p>
    <w:p>
      <w:pPr>
        <w:spacing w:after="180" w:line="300"/>
      </w:pPr>
      <w:r>
        <w:rPr>
          <w:rFonts w:ascii="Calibri" w:cs="Calibri" w:eastAsia="Calibri" w:hAnsi="Calibri"/>
          <w:i w:val="false"/>
          <w:iCs w:val="false"/>
          <w:color w:val="333333"/>
          <w:sz w:val="22"/>
          <w:szCs w:val="22"/>
        </w:rPr>
        <w:t>Franchise brands experiencing growth often discover that the informal process that worked for a handful of locations does not scale. What was manageable through ad hoc communication and one project manager's memory becomes unmanageable once a dozen locations are moving through different stages simultaneously. The fix is not working harder on each individual project. It is building a repeatable process, with standardized documentation and tracked milestones, that does not depend on any one person holding the whole picture in their head. The warning signs tend to show up gradually rather than all at once: a status update that used to take five minutes now takes an afternoon of tracking people down, or a design decision that used to get made in a single call now sits open for two weeks because nobody owns following up on it. None of these individually looks like a crisis. Together, they are exactly what a scaling problem looks like before it shows up in the opening-date numbers.</w:t>
      </w:r>
    </w:p>
    <w:p>
      <w:pPr>
        <w:pStyle w:val="Heading2"/>
        <w:spacing w:after="160" w:before="320"/>
      </w:pPr>
      <w:r>
        <w:rPr>
          <w:rFonts w:ascii="Calibri" w:cs="Calibri" w:eastAsia="Calibri" w:hAnsi="Calibri"/>
          <w:b/>
          <w:bCs/>
          <w:color w:val="1E3A5F"/>
          <w:sz w:val="28"/>
          <w:szCs w:val="28"/>
        </w:rPr>
        <w:t xml:space="preserve">What Applying This Looks Like Across a Rollout</w:t>
      </w:r>
    </w:p>
    <w:p>
      <w:pPr>
        <w:spacing w:after="180" w:line="300"/>
      </w:pPr>
      <w:r>
        <w:rPr>
          <w:rFonts w:ascii="Calibri" w:cs="Calibri" w:eastAsia="Calibri" w:hAnsi="Calibri"/>
          <w:i w:val="false"/>
          <w:iCs w:val="false"/>
          <w:color w:val="333333"/>
          <w:sz w:val="22"/>
          <w:szCs w:val="22"/>
        </w:rPr>
        <w:t xml:space="preserve">Consider a brand opening its fifth location after four that each ran late by six to ten weeks. Reviewing those four projects against the bottlenecks above typically surfaces a pattern: the same two or three categories, usually late design decisions and permit resubmittals, account for most of the lost time across every project, not four unrelated problems. Applying a decision deadline and jurisdictional pre-research to the fifth location, and tracking its critical path from day one instead of only once it starts to fall behind, is often enough to bring that project in close to schedule even before any other part of the process changes. The value is not in solving every possible bottleneck at once. It is in identifying which one or two are actually driving delays for a specific brand and location mix, then fixing those first.</w:t>
      </w:r>
    </w:p>
    <w:p>
      <w:pPr>
        <w:pStyle w:val="Heading2"/>
        <w:spacing w:after="160" w:before="320"/>
      </w:pPr>
      <w:r>
        <w:rPr>
          <w:rFonts w:ascii="Calibri" w:cs="Calibri" w:eastAsia="Calibri" w:hAnsi="Calibri"/>
          <w:b/>
          <w:bCs/>
          <w:color w:val="1E3A5F"/>
          <w:sz w:val="28"/>
          <w:szCs w:val="28"/>
        </w:rPr>
        <w:t xml:space="preserve">Typical Time Added by Bottleneck</w:t>
      </w:r>
    </w:p>
    <w:tbl>
      <w:tblPr>
        <w:tblW w:type="dxa" w:w="9500"/>
        <w:tblBorders>
          <w:top w:val="single" w:color="DADFE3" w:sz="2"/>
          <w:left w:val="single" w:color="DADFE3" w:sz="2"/>
          <w:bottom w:val="single" w:color="DADFE3" w:sz="2"/>
          <w:right w:val="single" w:color="DADFE3" w:sz="2"/>
          <w:insideH w:val="single" w:color="DADFE3" w:sz="2"/>
          <w:insideV w:val="single" w:color="DADFE3" w:sz="2"/>
        </w:tblBorders>
      </w:tblPr>
      <w:tblGrid>
        <w:gridCol w:w="3200"/>
        <w:gridCol w:w="2600"/>
        <w:gridCol w:w="3700"/>
      </w:tblGrid>
      <w:tr>
        <w:trPr>
          <w:tblHeader/>
        </w:trPr>
        <w:tc>
          <w:tcPr>
            <w:tcW w:type="dxa" w:w="32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Bottleneck</w:t>
            </w:r>
          </w:p>
        </w:tc>
        <w:tc>
          <w:tcPr>
            <w:tcW w:type="dxa" w:w="26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Typical Time Added</w:t>
            </w:r>
          </w:p>
        </w:tc>
        <w:tc>
          <w:tcPr>
            <w:tcW w:type="dxa" w:w="37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Prevention</w:t>
            </w:r>
          </w:p>
        </w:tc>
      </w:tr>
      <w:tr>
        <w:tc>
          <w:tcPr>
            <w:tcW w:type="dxa" w:w="32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Incomplete site information</w:t>
            </w:r>
          </w:p>
        </w:tc>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2 - 4 weeks</w:t>
            </w:r>
          </w:p>
        </w:tc>
        <w:tc>
          <w:tcPr>
            <w:tcW w:type="dxa" w:w="37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Full site validation before lease execution</w:t>
            </w:r>
          </w:p>
        </w:tc>
      </w:tr>
      <w:tr>
        <w:tc>
          <w:tcPr>
            <w:tcW w:type="dxa" w:w="32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Late design decisions</w:t>
            </w:r>
          </w:p>
        </w:tc>
        <w:tc>
          <w:tcPr>
            <w:tcW w:type="dxa" w:w="26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3 - 6 weeks</w:t>
            </w:r>
          </w:p>
        </w:tc>
        <w:tc>
          <w:tcPr>
            <w:tcW w:type="dxa" w:w="37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Decision deadlines with a default path</w:t>
            </w:r>
          </w:p>
        </w:tc>
      </w:tr>
      <w:tr>
        <w:tc>
          <w:tcPr>
            <w:tcW w:type="dxa" w:w="32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Permit resubmittals</w:t>
            </w:r>
          </w:p>
        </w:tc>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4 - 10 weeks</w:t>
            </w:r>
          </w:p>
        </w:tc>
        <w:tc>
          <w:tcPr>
            <w:tcW w:type="dxa" w:w="37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Jurisdictional research before submission</w:t>
            </w:r>
          </w:p>
        </w:tc>
      </w:tr>
      <w:tr>
        <w:tc>
          <w:tcPr>
            <w:tcW w:type="dxa" w:w="32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Late FF&amp;E ordering</w:t>
            </w:r>
          </w:p>
        </w:tc>
        <w:tc>
          <w:tcPr>
            <w:tcW w:type="dxa" w:w="26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6 - 14 weeks</w:t>
            </w:r>
          </w:p>
        </w:tc>
        <w:tc>
          <w:tcPr>
            <w:tcW w:type="dxa" w:w="37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Order long-lead items at design finalization</w:t>
            </w:r>
          </w:p>
        </w:tc>
      </w:tr>
      <w:tr>
        <w:tc>
          <w:tcPr>
            <w:tcW w:type="dxa" w:w="32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Uncoordinated consultants</w:t>
            </w:r>
          </w:p>
        </w:tc>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2 - 5 weeks</w:t>
            </w:r>
          </w:p>
        </w:tc>
        <w:tc>
          <w:tcPr>
            <w:tcW w:type="dxa" w:w="37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Clear, assigned project coordination</w:t>
            </w:r>
          </w:p>
        </w:tc>
      </w:tr>
    </w:tbl>
    <w:p>
      <w:pPr>
        <w:spacing w:after="200"/>
      </w:pPr>
    </w:p>
    <w:p>
      <w:pPr>
        <w:pStyle w:val="Heading2"/>
        <w:spacing w:after="160" w:before="320"/>
      </w:pPr>
      <w:r>
        <w:rPr>
          <w:rFonts w:ascii="Calibri" w:cs="Calibri" w:eastAsia="Calibri" w:hAnsi="Calibri"/>
          <w:b/>
          <w:bCs/>
          <w:color w:val="1E3A5F"/>
          <w:sz w:val="28"/>
          <w:szCs w:val="28"/>
        </w:rPr>
        <w:t xml:space="preserve">Frequently Asked Questions</w:t>
      </w:r>
    </w:p>
    <w:p>
      <w:pPr>
        <w:pStyle w:val="Heading3"/>
        <w:spacing w:after="120" w:before="220"/>
      </w:pPr>
      <w:r>
        <w:rPr>
          <w:rFonts w:ascii="Calibri" w:cs="Calibri" w:eastAsia="Calibri" w:hAnsi="Calibri"/>
          <w:b/>
          <w:bCs/>
          <w:color w:val="1E3A5F"/>
          <w:sz w:val="24"/>
          <w:szCs w:val="24"/>
        </w:rPr>
        <w:t xml:space="preserve">What is the biggest cause of franchise opening delays?</w:t>
      </w:r>
    </w:p>
    <w:p>
      <w:pPr>
        <w:spacing w:after="180" w:line="300"/>
      </w:pPr>
      <w:r>
        <w:rPr>
          <w:rFonts w:ascii="Calibri" w:cs="Calibri" w:eastAsia="Calibri" w:hAnsi="Calibri"/>
          <w:i w:val="false"/>
          <w:iCs w:val="false"/>
          <w:color w:val="333333"/>
          <w:sz w:val="22"/>
          <w:szCs w:val="22"/>
        </w:rPr>
        <w:t>Late design decisions and permit resubmittals tend to add the most time, because they cascade into procurement and construction schedules rather than staying contained to their own phase. Both are avoidable with earlier decision making and better jurisdictional research, which is why they are usually the first place to focus improvement efforts.</w:t>
      </w:r>
    </w:p>
    <w:p>
      <w:pPr>
        <w:pStyle w:val="Heading3"/>
        <w:spacing w:after="120" w:before="220"/>
      </w:pPr>
      <w:r>
        <w:rPr>
          <w:rFonts w:ascii="Calibri" w:cs="Calibri" w:eastAsia="Calibri" w:hAnsi="Calibri"/>
          <w:b/>
          <w:bCs/>
          <w:color w:val="1E3A5F"/>
          <w:sz w:val="24"/>
          <w:szCs w:val="24"/>
        </w:rPr>
        <w:t xml:space="preserve">How can a franchise brand speed up openings across multiple locations at once?</w:t>
      </w:r>
    </w:p>
    <w:p>
      <w:pPr>
        <w:spacing w:after="180" w:line="300"/>
      </w:pPr>
      <w:r>
        <w:rPr>
          <w:rFonts w:ascii="Calibri" w:cs="Calibri" w:eastAsia="Calibri" w:hAnsi="Calibri"/>
          <w:i w:val="false"/>
          <w:iCs w:val="false"/>
          <w:color w:val="333333"/>
          <w:sz w:val="22"/>
          <w:szCs w:val="22"/>
        </w:rPr>
        <w:t>Standardize the prototype design, track the critical path for each location, and maintain shared visibility across every project so a stalled location is caught early instead of discovered late. The goal is catching a stalled project within days rather than discovering it weeks later during a routine check-in.</w:t>
      </w:r>
    </w:p>
    <w:p>
      <w:pPr>
        <w:pStyle w:val="Heading3"/>
        <w:spacing w:after="120" w:before="220"/>
      </w:pPr>
      <w:r>
        <w:rPr>
          <w:rFonts w:ascii="Calibri" w:cs="Calibri" w:eastAsia="Calibri" w:hAnsi="Calibri"/>
          <w:b/>
          <w:bCs/>
          <w:color w:val="1E3A5F"/>
          <w:sz w:val="24"/>
          <w:szCs w:val="24"/>
        </w:rPr>
        <w:t xml:space="preserve">Does speeding up a franchise rollout mean cutting corners on construction?</w:t>
      </w:r>
    </w:p>
    <w:p>
      <w:pPr>
        <w:spacing w:after="180" w:line="300"/>
      </w:pPr>
      <w:r>
        <w:rPr>
          <w:rFonts w:ascii="Calibri" w:cs="Calibri" w:eastAsia="Calibri" w:hAnsi="Calibri"/>
          <w:i w:val="false"/>
          <w:iCs w:val="false"/>
          <w:color w:val="333333"/>
          <w:sz w:val="22"/>
          <w:szCs w:val="22"/>
        </w:rPr>
        <w:t>No. The fastest rollouts come from eliminating avoidable waiting time in site selection, design, and permitting, not from rushing the construction phase itself. If anything, a rollout with fewer avoidable delays gives the construction phase more breathing room to be done right the first time.</w:t>
      </w:r>
    </w:p>
    <w:p>
      <w:pPr>
        <w:pStyle w:val="Heading3"/>
        <w:spacing w:after="120" w:before="220"/>
      </w:pPr>
      <w:r>
        <w:rPr>
          <w:rFonts w:ascii="Calibri" w:cs="Calibri" w:eastAsia="Calibri" w:hAnsi="Calibri"/>
          <w:b/>
          <w:bCs/>
          <w:color w:val="1E3A5F"/>
          <w:sz w:val="24"/>
          <w:szCs w:val="24"/>
        </w:rPr>
        <w:t xml:space="preserve">When should FF&amp;E be ordered in a franchise rollout timeline?</w:t>
      </w:r>
    </w:p>
    <w:p>
      <w:pPr>
        <w:spacing w:after="180" w:line="300"/>
      </w:pPr>
      <w:r>
        <w:rPr>
          <w:rFonts w:ascii="Calibri" w:cs="Calibri" w:eastAsia="Calibri" w:hAnsi="Calibri"/>
          <w:i w:val="false"/>
          <w:iCs w:val="false"/>
          <w:color w:val="333333"/>
          <w:sz w:val="22"/>
          <w:szCs w:val="22"/>
        </w:rPr>
        <w:t>As close to design finalization as possible. Long-lead FF&amp;E items ordered late are one of the most common reasons a project with an on-time construction schedule still opens late. Waiting until construction begins to place these orders is one of the most common and most preventable scheduling mistakes in a rollout.</w:t>
      </w:r>
    </w:p>
    <w:p>
      <w:pPr>
        <w:pStyle w:val="Heading3"/>
        <w:spacing w:after="120" w:before="220"/>
      </w:pPr>
      <w:r>
        <w:rPr>
          <w:rFonts w:ascii="Calibri" w:cs="Calibri" w:eastAsia="Calibri" w:hAnsi="Calibri"/>
          <w:b/>
          <w:bCs/>
          <w:color w:val="1E3A5F"/>
          <w:sz w:val="24"/>
          <w:szCs w:val="24"/>
        </w:rPr>
        <w:t xml:space="preserve">How much faster can a franchise brand realistically open a location by fixing these bottlenecks?</w:t>
      </w:r>
    </w:p>
    <w:p>
      <w:pPr>
        <w:spacing w:after="180" w:line="300"/>
      </w:pPr>
      <w:r>
        <w:rPr>
          <w:rFonts w:ascii="Calibri" w:cs="Calibri" w:eastAsia="Calibri" w:hAnsi="Calibri"/>
          <w:i w:val="false"/>
          <w:iCs w:val="false"/>
          <w:color w:val="333333"/>
          <w:sz w:val="22"/>
          <w:szCs w:val="22"/>
        </w:rPr>
        <w:t xml:space="preserve">It depends on which bottlenecks were present, but brands that address late design decisions and permit resubmittals alone often recover four to twelve weeks per project, since those two categories tend to account for the largest share of avoidable delay.</w:t>
      </w:r>
    </w:p>
    <w:tbl>
      <w:tblPr>
        <w:tblW w:type="dxa" w:w="9500"/>
        <w:tblBorders>
          <w:top w:val="single" w:color="1E3A5F" w:sz="4"/>
          <w:left w:val="single" w:color="1E3A5F" w:sz="4"/>
          <w:bottom w:val="single" w:color="1E3A5F" w:sz="4"/>
          <w:right w:val="single" w:color="1E3A5F" w:sz="4"/>
          <w:insideH w:val="single" w:color="auto" w:sz="4"/>
          <w:insideV w:val="single" w:color="auto" w:sz="4"/>
        </w:tblBorders>
      </w:tblPr>
      <w:tblGrid>
        <w:gridCol w:w="9500"/>
      </w:tblGrid>
      <w:tr>
        <w:tc>
          <w:tcPr>
            <w:tcW w:type="dxa" w:w="9500"/>
            <w:shd w:fill="1E3A5F" w:color="auto" w:val="clear"/>
            <w:tcMar>
              <w:top w:type="dxa" w:w="200"/>
              <w:left w:type="dxa" w:w="250"/>
              <w:bottom w:type="dxa" w:w="200"/>
              <w:right w:type="dxa" w:w="250"/>
            </w:tcMar>
          </w:tcPr>
          <w:p>
            <w:pPr>
              <w:spacing w:after="100"/>
            </w:pPr>
            <w:r>
              <w:rPr>
                <w:rFonts w:ascii="Calibri" w:cs="Calibri" w:eastAsia="Calibri" w:hAnsi="Calibri"/>
                <w:b/>
                <w:bCs/>
                <w:color w:val="FFFFFF"/>
                <w:sz w:val="26"/>
                <w:szCs w:val="26"/>
              </w:rPr>
              <w:t xml:space="preserve">Losing Time Somewhere in Your Rollout?</w:t>
            </w:r>
          </w:p>
          <w:p>
            <w:pPr>
              <w:spacing w:after="150"/>
            </w:pPr>
            <w:r>
              <w:rPr>
                <w:rFonts w:ascii="Calibri" w:cs="Calibri" w:eastAsia="Calibri" w:hAnsi="Calibri"/>
                <w:color w:val="E7ECF1"/>
                <w:sz w:val="21"/>
                <w:szCs w:val="21"/>
              </w:rPr>
              <w:t xml:space="preserve">If your current process is losing weeks somewhere between site selection and opening day, Brand2Builds works with franchise brands to identify where the time is going and build a rollout process that scales past the first handful of locations.</w:t>
            </w:r>
          </w:p>
          <w:p>
            <w:hyperlink w:history="1" r:id="rIdgpqocjmm5d4-ilzjjgraz">
              <w:r>
                <w:rPr>
                  <w:rFonts w:ascii="Calibri" w:cs="Calibri" w:eastAsia="Calibri" w:hAnsi="Calibri"/>
                  <w:b/>
                  <w:bCs/>
                  <w:color w:val="D9622B"/>
                  <w:sz w:val="22"/>
                  <w:szCs w:val="22"/>
                  <w:u w:val="single"/>
                </w:rPr>
                <w:t xml:space="preserve">Talk to Brand2Builds about your rollout →</w:t>
              </w:r>
            </w:hyperlink>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pqocjmm5d4-ilzjjgraz" Type="http://schemas.openxmlformats.org/officeDocument/2006/relationships/hyperlink" Target="https://REPLACE-WITH-BRAND2BUILDS-URL.com" TargetMode="Externa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2026-08-31T16:24:06.431Z</dcterms:created>
  <dcterms:modified xsi:type="dcterms:W3CDTF">2026-08-31T16:24:06.431Z</dcterms:modified>
</cp:coreProperties>
</file>

<file path=docProps/custom.xml><?xml version="1.0" encoding="utf-8"?>
<Properties xmlns="http://schemas.openxmlformats.org/officeDocument/2006/custom-properties" xmlns:vt="http://schemas.openxmlformats.org/officeDocument/2006/docPropsVTypes"/>
</file>