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Meta Title</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Permit Expediter for Franchise Build-Outs vs Architect-Led Permitting</w:t>
            </w:r>
          </w:p>
        </w:tc>
      </w:tr>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Meta Description</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Do you need a permit expediter for a franchise build-out, or does your architect cover it? Use this responsibility matrix to assign who submits, tracks, and responds.</w:t>
            </w:r>
          </w:p>
        </w:tc>
      </w:tr>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URL Slug</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/blog/permit-expediter-for-franchise</w:t>
            </w:r>
          </w:p>
        </w:tc>
      </w:tr>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Main Keyword</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permit expediter for franchise</w:t>
            </w:r>
          </w:p>
        </w:tc>
      </w:tr>
      <w:tr>
        <w:tc>
          <w:tcPr>
            <w:tcW w:type="dxa" w:w="2200"/>
            <w:tcBorders>
              <w:top w:val="single" w:color="C9D1DC" w:sz="4"/>
              <w:left w:val="single" w:color="C9D1DC" w:sz="4"/>
              <w:bottom w:val="single" w:color="C9D1DC" w:sz="4"/>
              <w:right w:val="single" w:color="C9D1DC" w:sz="4"/>
            </w:tcBorders>
            <w:shd w:fill="1E3A5F" w:color="auto" w:val="clear"/>
            <w:tcMar>
              <w:top w:type="dxa" w:w="80"/>
              <w:left w:type="dxa" w:w="120"/>
              <w:bottom w:type="dxa" w:w="80"/>
              <w:right w:type="dxa" w:w="120"/>
            </w:tcMar>
          </w:tcPr>
          <w:p>
            <w:r>
              <w:rPr>
                <w:rFonts w:ascii="Calibri" w:cs="Calibri" w:eastAsia="Calibri" w:hAnsi="Calibri"/>
                <w:b/>
                <w:bCs/>
                <w:color w:val="FFFFFF"/>
                <w:sz w:val="20"/>
                <w:szCs w:val="20"/>
              </w:rPr>
              <w:t xml:space="preserve">Internal Links</w:t>
            </w:r>
          </w:p>
        </w:tc>
        <w:tc>
          <w:tcPr>
            <w:tcW w:type="dxa" w:w="7160"/>
            <w:tcBorders>
              <w:top w:val="single" w:color="C9D1DC" w:sz="4"/>
              <w:left w:val="single" w:color="C9D1DC" w:sz="4"/>
              <w:bottom w:val="single" w:color="C9D1DC" w:sz="4"/>
              <w:right w:val="single" w:color="C9D1DC" w:sz="4"/>
            </w:tcBorders>
            <w:shd w:fill="EEF2F7" w:color="auto" w:val="clear"/>
            <w:tcMar>
              <w:top w:type="dxa" w:w="80"/>
              <w:left w:type="dxa" w:w="120"/>
              <w:bottom w:type="dxa" w:w="80"/>
              <w:right w:type="dxa" w:w="120"/>
            </w:tcMar>
          </w:tcPr>
          <w:p>
            <w:r>
              <w:rPr>
                <w:rFonts w:ascii="Calibri" w:cs="Calibri" w:eastAsia="Calibri" w:hAnsi="Calibri"/>
                <w:sz w:val="20"/>
                <w:szCs w:val="20"/>
              </w:rPr>
              <w:t xml:space="preserve">Published: 90-day permit article; permits by state</w:t>
            </w:r>
          </w:p>
          <w:p>
            <w:r>
              <w:rPr>
                <w:rFonts w:ascii="Calibri" w:cs="Calibri" w:eastAsia="Calibri" w:hAnsi="Calibri"/>
                <w:sz w:val="20"/>
                <w:szCs w:val="20"/>
              </w:rPr>
              <w:t xml:space="preserve">Upcoming (link once live): fast-track permitting pathways; plan review comments</w:t>
            </w:r>
          </w:p>
        </w:tc>
      </w:tr>
    </w:tbl>
    <w:p>
      <w:pPr>
        <w:pStyle w:val="Heading1"/>
        <w:spacing w:after="200" w:before="360"/>
      </w:pPr>
      <w:r>
        <w:t xml:space="preserve">Permit Expediter or Architect-Led Permitting? How Franchise Brands Should Assign Responsibility</w:t>
      </w:r>
    </w:p>
    <w:p>
      <w:pPr>
        <w:pBdr>
          <w:left w:val="single" w:color="D9622B" w:sz="18" w:space="10"/>
        </w:pBdr>
        <w:spacing w:after="200" w:line="300"/>
        <w:ind w:left="200"/>
      </w:pPr>
      <w:r>
        <w:rPr>
          <w:rFonts w:ascii="Calibri" w:cs="Calibri" w:eastAsia="Calibri" w:hAnsi="Calibri"/>
          <w:sz w:val="23"/>
          <w:szCs w:val="23"/>
        </w:rPr>
        <w:t xml:space="preserve">A permit expediter helps move a permit through submission and review, while the architect produces the documents that make approval possible. Multi-location franchise rollouts often need both roles, with responsibilities for submitting, tracking, and responding to comments assigned clearly in writing before the first submission.</w:t>
      </w:r>
    </w:p>
    <w:p>
      <w:pPr>
        <w:spacing w:after="160" w:line="300"/>
      </w:pPr>
      <w:r>
        <w:rPr>
          <w:rFonts w:ascii="Calibri" w:cs="Calibri" w:eastAsia="Calibri" w:hAnsi="Calibri"/>
          <w:sz w:val="22"/>
          <w:szCs w:val="22"/>
        </w:rPr>
        <w:t xml:space="preserve">The question of whether to hire a </w:t>
      </w:r>
      <w:r>
        <w:rPr>
          <w:rFonts w:ascii="Calibri" w:cs="Calibri" w:eastAsia="Calibri" w:hAnsi="Calibri"/>
          <w:b/>
          <w:bCs/>
          <w:sz w:val="22"/>
          <w:szCs w:val="22"/>
        </w:rPr>
        <w:t xml:space="preserve">permit expediter for a franchise</w:t>
      </w:r>
      <w:r>
        <w:rPr>
          <w:rFonts w:ascii="Calibri" w:cs="Calibri" w:eastAsia="Calibri" w:hAnsi="Calibri"/>
          <w:sz w:val="22"/>
          <w:szCs w:val="22"/>
        </w:rPr>
        <w:t xml:space="preserve"> build-out rarely comes up in a calm moment. It usually surfaces when permits are already slow and someone suggests an expediter as the fix. The difficulty is that no one can say clearly what the architect already covers, so the brand risks paying twice for the same work or, worse, leaving gaps that nobody owns.</w:t>
      </w:r>
    </w:p>
    <w:p>
      <w:pPr>
        <w:spacing w:after="160" w:line="300"/>
      </w:pPr>
      <w:r>
        <w:rPr>
          <w:rFonts w:ascii="Calibri" w:cs="Calibri" w:eastAsia="Calibri" w:hAnsi="Calibri"/>
          <w:sz w:val="22"/>
          <w:szCs w:val="22"/>
        </w:rPr>
        <w:t xml:space="preserve">The more useful question is not "expediter or architect" but "who owns which permit task in this rollout." Answer that, and the decision about adding an expediter usually becomes obvious.</w:t>
      </w:r>
    </w:p>
    <w:p>
      <w:pPr>
        <w:pBdr>
          <w:bottom w:val="single" w:color="D9622B" w:sz="8" w:space="1"/>
        </w:pBdr>
        <w:spacing w:after="200" w:before="120"/>
      </w:pPr>
    </w:p>
    <w:p>
      <w:pPr>
        <w:pStyle w:val="Heading2"/>
        <w:spacing w:after="140" w:before="320"/>
      </w:pPr>
      <w:r>
        <w:t xml:space="preserve">Why the Question Comes Up</w:t>
      </w:r>
    </w:p>
    <w:p>
      <w:pPr>
        <w:spacing w:after="160" w:line="300"/>
      </w:pPr>
      <w:r>
        <w:rPr>
          <w:rFonts w:ascii="Calibri" w:cs="Calibri" w:eastAsia="Calibri" w:hAnsi="Calibri"/>
          <w:sz w:val="22"/>
          <w:szCs w:val="22"/>
        </w:rPr>
        <w:t xml:space="preserve">The triggers are familiar to most development directors:</w:t>
      </w:r>
    </w:p>
    <w:p>
      <w:pPr>
        <w:pStyle w:val="ListParagraph"/>
        <w:numPr>
          <w:ilvl w:val="0"/>
          <w:numId w:val="2"/>
        </w:numPr>
        <w:spacing w:after="80" w:line="280"/>
      </w:pPr>
      <w:r>
        <w:rPr>
          <w:rFonts w:ascii="Calibri" w:cs="Calibri" w:eastAsia="Calibri" w:hAnsi="Calibri"/>
          <w:b/>
          <w:bCs/>
          <w:sz w:val="22"/>
          <w:szCs w:val="22"/>
        </w:rPr>
        <w:t xml:space="preserve">Nobody is tracking submission status</w:t>
      </w:r>
      <w:r>
        <w:rPr>
          <w:rFonts w:ascii="Calibri" w:cs="Calibri" w:eastAsia="Calibri" w:hAnsi="Calibri"/>
          <w:sz w:val="22"/>
          <w:szCs w:val="22"/>
        </w:rPr>
        <w:t xml:space="preserve">, so the team learns about a problem weeks after it started.</w:t>
      </w:r>
    </w:p>
    <w:p>
      <w:pPr>
        <w:pStyle w:val="ListParagraph"/>
        <w:numPr>
          <w:ilvl w:val="0"/>
          <w:numId w:val="2"/>
        </w:numPr>
        <w:spacing w:after="80" w:line="280"/>
      </w:pPr>
      <w:r>
        <w:rPr>
          <w:rFonts w:ascii="Calibri" w:cs="Calibri" w:eastAsia="Calibri" w:hAnsi="Calibri"/>
          <w:b/>
          <w:bCs/>
          <w:sz w:val="22"/>
          <w:szCs w:val="22"/>
        </w:rPr>
        <w:t xml:space="preserve">A correction letter sits unanswered</w:t>
      </w:r>
      <w:r>
        <w:rPr>
          <w:rFonts w:ascii="Calibri" w:cs="Calibri" w:eastAsia="Calibri" w:hAnsi="Calibri"/>
          <w:sz w:val="22"/>
          <w:szCs w:val="22"/>
        </w:rPr>
        <w:t xml:space="preserve"> because each party assumed the other would respond.</w:t>
      </w:r>
    </w:p>
    <w:p>
      <w:pPr>
        <w:pStyle w:val="ListParagraph"/>
        <w:numPr>
          <w:ilvl w:val="0"/>
          <w:numId w:val="2"/>
        </w:numPr>
        <w:spacing w:after="80" w:line="280"/>
      </w:pPr>
      <w:r>
        <w:rPr>
          <w:rFonts w:ascii="Calibri" w:cs="Calibri" w:eastAsia="Calibri" w:hAnsi="Calibri"/>
          <w:b/>
          <w:bCs/>
          <w:sz w:val="22"/>
          <w:szCs w:val="22"/>
        </w:rPr>
        <w:t xml:space="preserve">A review was missed</w:t>
      </w:r>
      <w:r>
        <w:rPr>
          <w:rFonts w:ascii="Calibri" w:cs="Calibri" w:eastAsia="Calibri" w:hAnsi="Calibri"/>
          <w:sz w:val="22"/>
          <w:szCs w:val="22"/>
        </w:rPr>
        <w:t xml:space="preserve">, such as health, fire, zoning, or signage, and surfaces late.</w:t>
      </w:r>
    </w:p>
    <w:p>
      <w:pPr>
        <w:pStyle w:val="ListParagraph"/>
        <w:numPr>
          <w:ilvl w:val="0"/>
          <w:numId w:val="2"/>
        </w:numPr>
        <w:spacing w:after="80" w:line="280"/>
      </w:pPr>
      <w:r>
        <w:rPr>
          <w:rFonts w:ascii="Calibri" w:cs="Calibri" w:eastAsia="Calibri" w:hAnsi="Calibri"/>
          <w:b/>
          <w:bCs/>
          <w:sz w:val="22"/>
          <w:szCs w:val="22"/>
        </w:rPr>
        <w:t xml:space="preserve">Finger-pointing when the opening date slips</w:t>
      </w:r>
      <w:r>
        <w:rPr>
          <w:rFonts w:ascii="Calibri" w:cs="Calibri" w:eastAsia="Calibri" w:hAnsi="Calibri"/>
          <w:sz w:val="22"/>
          <w:szCs w:val="22"/>
        </w:rPr>
        <w:t xml:space="preserve">, with no clear record of who was supposed to do what.</w:t>
      </w:r>
    </w:p>
    <w:p>
      <w:pPr>
        <w:spacing w:after="160" w:line="300"/>
      </w:pPr>
      <w:r>
        <w:rPr>
          <w:rFonts w:ascii="Calibri" w:cs="Calibri" w:eastAsia="Calibri" w:hAnsi="Calibri"/>
          <w:sz w:val="22"/>
          <w:szCs w:val="22"/>
        </w:rPr>
        <w:t xml:space="preserve">Each of these is a responsibility gap, not necessarily a capability gap. Adding another party without closing the gap can make it wider.</w:t>
      </w:r>
    </w:p>
    <w:p>
      <w:pPr>
        <w:pStyle w:val="Heading2"/>
        <w:spacing w:after="140" w:before="320"/>
      </w:pPr>
      <w:r>
        <w:t xml:space="preserve">What Permit Expediters Typically Do</w:t>
      </w:r>
    </w:p>
    <w:p>
      <w:pPr>
        <w:spacing w:after="160" w:line="300"/>
      </w:pPr>
      <w:r>
        <w:rPr>
          <w:rFonts w:ascii="Calibri" w:cs="Calibri" w:eastAsia="Calibri" w:hAnsi="Calibri"/>
          <w:sz w:val="22"/>
          <w:szCs w:val="22"/>
        </w:rPr>
        <w:t xml:space="preserve">Expediters provide real value, particularly in jurisdictions a team does not know well. Typical services include:</w:t>
      </w:r>
    </w:p>
    <w:p>
      <w:pPr>
        <w:pStyle w:val="ListParagraph"/>
        <w:numPr>
          <w:ilvl w:val="0"/>
          <w:numId w:val="2"/>
        </w:numPr>
        <w:spacing w:after="80" w:line="280"/>
      </w:pPr>
      <w:r>
        <w:rPr>
          <w:rFonts w:ascii="Calibri" w:cs="Calibri" w:eastAsia="Calibri" w:hAnsi="Calibri"/>
          <w:b/>
          <w:bCs/>
          <w:sz w:val="22"/>
          <w:szCs w:val="22"/>
        </w:rPr>
        <w:t xml:space="preserve">Submission logistics:</w:t>
      </w:r>
      <w:r>
        <w:rPr>
          <w:rFonts w:ascii="Calibri" w:cs="Calibri" w:eastAsia="Calibri" w:hAnsi="Calibri"/>
          <w:sz w:val="22"/>
          <w:szCs w:val="22"/>
        </w:rPr>
        <w:t xml:space="preserve"> preparing and filing applications, portal uploads, and required forms.</w:t>
      </w:r>
    </w:p>
    <w:p>
      <w:pPr>
        <w:pStyle w:val="ListParagraph"/>
        <w:numPr>
          <w:ilvl w:val="0"/>
          <w:numId w:val="2"/>
        </w:numPr>
        <w:spacing w:after="80" w:line="280"/>
      </w:pPr>
      <w:r>
        <w:rPr>
          <w:rFonts w:ascii="Calibri" w:cs="Calibri" w:eastAsia="Calibri" w:hAnsi="Calibri"/>
          <w:b/>
          <w:bCs/>
          <w:sz w:val="22"/>
          <w:szCs w:val="22"/>
        </w:rPr>
        <w:t xml:space="preserve">Tracking:</w:t>
      </w:r>
      <w:r>
        <w:rPr>
          <w:rFonts w:ascii="Calibri" w:cs="Calibri" w:eastAsia="Calibri" w:hAnsi="Calibri"/>
          <w:sz w:val="22"/>
          <w:szCs w:val="22"/>
        </w:rPr>
        <w:t xml:space="preserve"> monitoring status across departments and reporting it back.</w:t>
      </w:r>
    </w:p>
    <w:p>
      <w:pPr>
        <w:pStyle w:val="ListParagraph"/>
        <w:numPr>
          <w:ilvl w:val="0"/>
          <w:numId w:val="2"/>
        </w:numPr>
        <w:spacing w:after="80" w:line="280"/>
      </w:pPr>
      <w:r>
        <w:rPr>
          <w:rFonts w:ascii="Calibri" w:cs="Calibri" w:eastAsia="Calibri" w:hAnsi="Calibri"/>
          <w:b/>
          <w:bCs/>
          <w:sz w:val="22"/>
          <w:szCs w:val="22"/>
        </w:rPr>
        <w:t xml:space="preserve">Agency routing:</w:t>
      </w:r>
      <w:r>
        <w:rPr>
          <w:rFonts w:ascii="Calibri" w:cs="Calibri" w:eastAsia="Calibri" w:hAnsi="Calibri"/>
          <w:sz w:val="22"/>
          <w:szCs w:val="22"/>
        </w:rPr>
        <w:t xml:space="preserve"> making sure the set reaches every reviewer that needs to see it.</w:t>
      </w:r>
    </w:p>
    <w:p>
      <w:pPr>
        <w:pStyle w:val="ListParagraph"/>
        <w:numPr>
          <w:ilvl w:val="0"/>
          <w:numId w:val="2"/>
        </w:numPr>
        <w:spacing w:after="80" w:line="280"/>
      </w:pPr>
      <w:r>
        <w:rPr>
          <w:rFonts w:ascii="Calibri" w:cs="Calibri" w:eastAsia="Calibri" w:hAnsi="Calibri"/>
          <w:b/>
          <w:bCs/>
          <w:sz w:val="22"/>
          <w:szCs w:val="22"/>
        </w:rPr>
        <w:t xml:space="preserve">Reviewer relationships:</w:t>
      </w:r>
      <w:r>
        <w:rPr>
          <w:rFonts w:ascii="Calibri" w:cs="Calibri" w:eastAsia="Calibri" w:hAnsi="Calibri"/>
          <w:sz w:val="22"/>
          <w:szCs w:val="22"/>
        </w:rPr>
        <w:t xml:space="preserve"> knowing who to call and how a specific office prefers to work.</w:t>
      </w:r>
    </w:p>
    <w:p>
      <w:pPr>
        <w:pStyle w:val="ListParagraph"/>
        <w:numPr>
          <w:ilvl w:val="0"/>
          <w:numId w:val="2"/>
        </w:numPr>
        <w:spacing w:after="80" w:line="280"/>
      </w:pPr>
      <w:r>
        <w:rPr>
          <w:rFonts w:ascii="Calibri" w:cs="Calibri" w:eastAsia="Calibri" w:hAnsi="Calibri"/>
          <w:b/>
          <w:bCs/>
          <w:sz w:val="22"/>
          <w:szCs w:val="22"/>
        </w:rPr>
        <w:t xml:space="preserve">Fee handling:</w:t>
      </w:r>
      <w:r>
        <w:rPr>
          <w:rFonts w:ascii="Calibri" w:cs="Calibri" w:eastAsia="Calibri" w:hAnsi="Calibri"/>
          <w:sz w:val="22"/>
          <w:szCs w:val="22"/>
        </w:rPr>
        <w:t xml:space="preserve"> managing application and review fees and receipts.</w:t>
      </w:r>
    </w:p>
    <w:p>
      <w:pPr>
        <w:pStyle w:val="Heading2"/>
        <w:spacing w:after="140" w:before="320"/>
      </w:pPr>
      <w:r>
        <w:t xml:space="preserve">What Architects Do</w:t>
      </w:r>
    </w:p>
    <w:p>
      <w:pPr>
        <w:spacing w:after="160" w:line="300"/>
      </w:pPr>
      <w:r>
        <w:rPr>
          <w:rFonts w:ascii="Calibri" w:cs="Calibri" w:eastAsia="Calibri" w:hAnsi="Calibri"/>
          <w:sz w:val="22"/>
          <w:szCs w:val="22"/>
        </w:rPr>
        <w:t xml:space="preserve">The architect is responsible for the quality of the documents. That includes producing </w:t>
      </w:r>
      <w:r>
        <w:rPr>
          <w:rFonts w:ascii="Calibri" w:cs="Calibri" w:eastAsia="Calibri" w:hAnsi="Calibri"/>
          <w:b/>
          <w:bCs/>
          <w:sz w:val="22"/>
          <w:szCs w:val="22"/>
        </w:rPr>
        <w:t xml:space="preserve">permit-ready construction documents</w:t>
      </w:r>
      <w:r>
        <w:rPr>
          <w:rFonts w:ascii="Calibri" w:cs="Calibri" w:eastAsia="Calibri" w:hAnsi="Calibri"/>
          <w:sz w:val="22"/>
          <w:szCs w:val="22"/>
        </w:rPr>
        <w:t xml:space="preserve">, coordinating engineering consultants, and preparing </w:t>
      </w:r>
      <w:r>
        <w:rPr>
          <w:rFonts w:ascii="Calibri" w:cs="Calibri" w:eastAsia="Calibri" w:hAnsi="Calibri"/>
          <w:b/>
          <w:bCs/>
          <w:sz w:val="22"/>
          <w:szCs w:val="22"/>
        </w:rPr>
        <w:t xml:space="preserve">technical responses to plan review comments</w:t>
      </w:r>
      <w:r>
        <w:rPr>
          <w:rFonts w:ascii="Calibri" w:cs="Calibri" w:eastAsia="Calibri" w:hAnsi="Calibri"/>
          <w:sz w:val="22"/>
          <w:szCs w:val="22"/>
        </w:rPr>
        <w:t xml:space="preserve">. When a reviewer asks for a change to egress, fixtures, or fire protection, it is the architect of record who revises and seals the drawings. No amount of logistics can substitute for documents that meet the requirements.</w:t>
      </w:r>
    </w:p>
    <w:p>
      <w:pPr>
        <w:pStyle w:val="Heading2"/>
        <w:spacing w:after="140" w:before="320"/>
      </w:pPr>
      <w:r>
        <w:t xml:space="preserve">The Gap Zone Where Responsibilities Blur</w:t>
      </w:r>
    </w:p>
    <w:p>
      <w:pPr>
        <w:spacing w:after="160" w:line="300"/>
      </w:pPr>
      <w:r>
        <w:rPr>
          <w:rFonts w:ascii="Calibri" w:cs="Calibri" w:eastAsia="Calibri" w:hAnsi="Calibri"/>
          <w:sz w:val="22"/>
          <w:szCs w:val="22"/>
        </w:rPr>
        <w:t xml:space="preserve">Most permit delays that end in finger-pointing sit in a handful of tasks that both parties could plausibly own:</w:t>
      </w:r>
    </w:p>
    <w:p>
      <w:pPr>
        <w:pStyle w:val="ListParagraph"/>
        <w:numPr>
          <w:ilvl w:val="0"/>
          <w:numId w:val="3"/>
        </w:numPr>
        <w:spacing w:after="80" w:line="280"/>
      </w:pPr>
      <w:r>
        <w:rPr>
          <w:rFonts w:ascii="Calibri" w:cs="Calibri" w:eastAsia="Calibri" w:hAnsi="Calibri"/>
          <w:b/>
          <w:bCs/>
          <w:sz w:val="22"/>
          <w:szCs w:val="22"/>
        </w:rPr>
        <w:t xml:space="preserve">Who submits</w:t>
      </w:r>
      <w:r>
        <w:rPr>
          <w:rFonts w:ascii="Calibri" w:cs="Calibri" w:eastAsia="Calibri" w:hAnsi="Calibri"/>
          <w:sz w:val="22"/>
          <w:szCs w:val="22"/>
        </w:rPr>
        <w:t xml:space="preserve"> the application and pays the fees.</w:t>
      </w:r>
    </w:p>
    <w:p>
      <w:pPr>
        <w:pStyle w:val="ListParagraph"/>
        <w:numPr>
          <w:ilvl w:val="0"/>
          <w:numId w:val="3"/>
        </w:numPr>
        <w:spacing w:after="80" w:line="280"/>
      </w:pPr>
      <w:r>
        <w:rPr>
          <w:rFonts w:ascii="Calibri" w:cs="Calibri" w:eastAsia="Calibri" w:hAnsi="Calibri"/>
          <w:b/>
          <w:bCs/>
          <w:sz w:val="22"/>
          <w:szCs w:val="22"/>
        </w:rPr>
        <w:t xml:space="preserve">Who monitors</w:t>
      </w:r>
      <w:r>
        <w:rPr>
          <w:rFonts w:ascii="Calibri" w:cs="Calibri" w:eastAsia="Calibri" w:hAnsi="Calibri"/>
          <w:sz w:val="22"/>
          <w:szCs w:val="22"/>
        </w:rPr>
        <w:t xml:space="preserve"> status and how often.</w:t>
      </w:r>
    </w:p>
    <w:p>
      <w:pPr>
        <w:pStyle w:val="ListParagraph"/>
        <w:numPr>
          <w:ilvl w:val="0"/>
          <w:numId w:val="3"/>
        </w:numPr>
        <w:spacing w:after="80" w:line="280"/>
      </w:pPr>
      <w:r>
        <w:rPr>
          <w:rFonts w:ascii="Calibri" w:cs="Calibri" w:eastAsia="Calibri" w:hAnsi="Calibri"/>
          <w:b/>
          <w:bCs/>
          <w:sz w:val="22"/>
          <w:szCs w:val="22"/>
        </w:rPr>
        <w:t xml:space="preserve">Who responds</w:t>
      </w:r>
      <w:r>
        <w:rPr>
          <w:rFonts w:ascii="Calibri" w:cs="Calibri" w:eastAsia="Calibri" w:hAnsi="Calibri"/>
          <w:sz w:val="22"/>
          <w:szCs w:val="22"/>
        </w:rPr>
        <w:t xml:space="preserve"> to comments, and who decides whether a comment is technical or administrative.</w:t>
      </w:r>
    </w:p>
    <w:p>
      <w:pPr>
        <w:pStyle w:val="ListParagraph"/>
        <w:numPr>
          <w:ilvl w:val="0"/>
          <w:numId w:val="3"/>
        </w:numPr>
        <w:spacing w:after="80" w:line="280"/>
      </w:pPr>
      <w:r>
        <w:rPr>
          <w:rFonts w:ascii="Calibri" w:cs="Calibri" w:eastAsia="Calibri" w:hAnsi="Calibri"/>
          <w:b/>
          <w:bCs/>
          <w:sz w:val="22"/>
          <w:szCs w:val="22"/>
        </w:rPr>
        <w:t xml:space="preserve">Who talks to the reviewer</w:t>
      </w:r>
      <w:r>
        <w:rPr>
          <w:rFonts w:ascii="Calibri" w:cs="Calibri" w:eastAsia="Calibri" w:hAnsi="Calibri"/>
          <w:sz w:val="22"/>
          <w:szCs w:val="22"/>
        </w:rPr>
        <w:t xml:space="preserve"> when a clarification call would save a resubmittal cycle.</w:t>
      </w:r>
    </w:p>
    <w:p>
      <w:pPr>
        <w:pStyle w:val="ListParagraph"/>
        <w:numPr>
          <w:ilvl w:val="0"/>
          <w:numId w:val="3"/>
        </w:numPr>
        <w:spacing w:after="80" w:line="280"/>
      </w:pPr>
      <w:r>
        <w:rPr>
          <w:rFonts w:ascii="Calibri" w:cs="Calibri" w:eastAsia="Calibri" w:hAnsi="Calibri"/>
          <w:b/>
          <w:bCs/>
          <w:sz w:val="22"/>
          <w:szCs w:val="22"/>
        </w:rPr>
        <w:t xml:space="preserve">Who tells the franchisor</w:t>
      </w:r>
      <w:r>
        <w:rPr>
          <w:rFonts w:ascii="Calibri" w:cs="Calibri" w:eastAsia="Calibri" w:hAnsi="Calibri"/>
          <w:sz w:val="22"/>
          <w:szCs w:val="22"/>
        </w:rPr>
        <w:t xml:space="preserve"> when the schedule is at risk.</w:t>
      </w:r>
    </w:p>
    <w:p>
      <w:pPr>
        <w:spacing w:after="160" w:line="300"/>
      </w:pPr>
      <w:r>
        <w:rPr>
          <w:rFonts w:ascii="Calibri" w:cs="Calibri" w:eastAsia="Calibri" w:hAnsi="Calibri"/>
          <w:sz w:val="22"/>
          <w:szCs w:val="22"/>
        </w:rPr>
        <w:t xml:space="preserve">Notice that none of these tasks is technically difficult. They fall through the cracks because each party reasonably believes another party has them. The architect assumes the expediter is watching the portal. The expediter assumes the architect saw the comment letter. The franchisee assumes both are handling it. A few days of that assumption, repeated across several review cycles, is often the real difference between a permit that clears on schedule and one that pushes the opening date by weeks.</w:t>
      </w:r>
    </w:p>
    <w:p>
      <w:pPr>
        <w:pStyle w:val="Heading2"/>
        <w:spacing w:after="140" w:before="320"/>
      </w:pPr>
      <w:r>
        <w:t xml:space="preserve">A Responsibility Matrix You Can Adapt</w:t>
      </w:r>
    </w:p>
    <w:p>
      <w:pPr>
        <w:spacing w:after="80" w:before="120"/>
      </w:pPr>
      <w:r>
        <w:rPr>
          <w:rFonts w:ascii="Calibri" w:cs="Calibri" w:eastAsia="Calibri" w:hAnsi="Calibri"/>
          <w:i/>
          <w:iCs/>
          <w:color w:val="5A6573"/>
          <w:sz w:val="20"/>
          <w:szCs w:val="20"/>
        </w:rPr>
        <w:t xml:space="preserve">Example responsibility matrix. Adjust each row to match your contracts.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C9D1DC" w:sz="4"/>
              <w:left w:val="single" w:color="C9D1DC" w:sz="4"/>
              <w:bottom w:val="single" w:color="C9D1DC" w:sz="4"/>
              <w:right w:val="single" w:color="C9D1DC" w:sz="4"/>
            </w:tcBorders>
            <w:shd w:fill="1E3A5F" w:color="auto" w:val="clear"/>
            <w:tcMar>
              <w:top w:type="dxa" w:w="70"/>
              <w:left w:type="dxa" w:w="100"/>
              <w:bottom w:type="dxa" w:w="70"/>
              <w:right w:type="dxa" w:w="100"/>
            </w:tcMar>
          </w:tcPr>
          <w:p>
            <w:r>
              <w:rPr>
                <w:rFonts w:ascii="Calibri" w:cs="Calibri" w:eastAsia="Calibri" w:hAnsi="Calibri"/>
                <w:b/>
                <w:bCs/>
                <w:color w:val="FFFFFF"/>
                <w:sz w:val="19"/>
                <w:szCs w:val="19"/>
              </w:rPr>
              <w:t xml:space="preserve">Task</w:t>
            </w:r>
          </w:p>
        </w:tc>
        <w:tc>
          <w:tcPr>
            <w:tcW w:type="dxa" w:w="2340"/>
            <w:tcBorders>
              <w:top w:val="single" w:color="C9D1DC" w:sz="4"/>
              <w:left w:val="single" w:color="C9D1DC" w:sz="4"/>
              <w:bottom w:val="single" w:color="C9D1DC" w:sz="4"/>
              <w:right w:val="single" w:color="C9D1DC" w:sz="4"/>
            </w:tcBorders>
            <w:shd w:fill="1E3A5F" w:color="auto" w:val="clear"/>
            <w:tcMar>
              <w:top w:type="dxa" w:w="70"/>
              <w:left w:type="dxa" w:w="100"/>
              <w:bottom w:type="dxa" w:w="70"/>
              <w:right w:type="dxa" w:w="100"/>
            </w:tcMar>
          </w:tcPr>
          <w:p>
            <w:r>
              <w:rPr>
                <w:rFonts w:ascii="Calibri" w:cs="Calibri" w:eastAsia="Calibri" w:hAnsi="Calibri"/>
                <w:b/>
                <w:bCs/>
                <w:color w:val="FFFFFF"/>
                <w:sz w:val="19"/>
                <w:szCs w:val="19"/>
              </w:rPr>
              <w:t xml:space="preserve">Expediter</w:t>
            </w:r>
          </w:p>
        </w:tc>
        <w:tc>
          <w:tcPr>
            <w:tcW w:type="dxa" w:w="2340"/>
            <w:tcBorders>
              <w:top w:val="single" w:color="C9D1DC" w:sz="4"/>
              <w:left w:val="single" w:color="C9D1DC" w:sz="4"/>
              <w:bottom w:val="single" w:color="C9D1DC" w:sz="4"/>
              <w:right w:val="single" w:color="C9D1DC" w:sz="4"/>
            </w:tcBorders>
            <w:shd w:fill="1E3A5F" w:color="auto" w:val="clear"/>
            <w:tcMar>
              <w:top w:type="dxa" w:w="70"/>
              <w:left w:type="dxa" w:w="100"/>
              <w:bottom w:type="dxa" w:w="70"/>
              <w:right w:type="dxa" w:w="100"/>
            </w:tcMar>
          </w:tcPr>
          <w:p>
            <w:r>
              <w:rPr>
                <w:rFonts w:ascii="Calibri" w:cs="Calibri" w:eastAsia="Calibri" w:hAnsi="Calibri"/>
                <w:b/>
                <w:bCs/>
                <w:color w:val="FFFFFF"/>
                <w:sz w:val="19"/>
                <w:szCs w:val="19"/>
              </w:rPr>
              <w:t xml:space="preserve">Architect</w:t>
            </w:r>
          </w:p>
        </w:tc>
        <w:tc>
          <w:tcPr>
            <w:tcW w:type="dxa" w:w="2340"/>
            <w:tcBorders>
              <w:top w:val="single" w:color="C9D1DC" w:sz="4"/>
              <w:left w:val="single" w:color="C9D1DC" w:sz="4"/>
              <w:bottom w:val="single" w:color="C9D1DC" w:sz="4"/>
              <w:right w:val="single" w:color="C9D1DC" w:sz="4"/>
            </w:tcBorders>
            <w:shd w:fill="1E3A5F" w:color="auto" w:val="clear"/>
            <w:tcMar>
              <w:top w:type="dxa" w:w="70"/>
              <w:left w:type="dxa" w:w="100"/>
              <w:bottom w:type="dxa" w:w="70"/>
              <w:right w:type="dxa" w:w="100"/>
            </w:tcMar>
          </w:tcPr>
          <w:p>
            <w:r>
              <w:rPr>
                <w:rFonts w:ascii="Calibri" w:cs="Calibri" w:eastAsia="Calibri" w:hAnsi="Calibri"/>
                <w:b/>
                <w:bCs/>
                <w:color w:val="FFFFFF"/>
                <w:sz w:val="19"/>
                <w:szCs w:val="19"/>
              </w:rPr>
              <w:t xml:space="preserve">Franchisor or franchisee</w:t>
            </w:r>
          </w:p>
        </w:tc>
      </w:tr>
      <w:tr>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Construction documents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Not responsible</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Owns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Provides prototype and approvals</w:t>
            </w:r>
          </w:p>
        </w:tc>
      </w:tr>
      <w:tr>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Application filing and fees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Often owns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Owns if no expediter</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Signs as applicant or owner; funds fees</w:t>
            </w:r>
          </w:p>
        </w:tc>
      </w:tr>
      <w:tr>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Status tracking</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Often owns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Supports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Receives regular reports</w:t>
            </w:r>
          </w:p>
        </w:tc>
      </w:tr>
      <w:tr>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Routing to all reviewing agencies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Often owns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Identifies required reviews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Confirms scope and use</w:t>
            </w:r>
          </w:p>
        </w:tc>
      </w:tr>
      <w:tr>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Technical comment responses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Coordinates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Owns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Approves any brand-impacting changes</w:t>
            </w:r>
          </w:p>
        </w:tc>
      </w:tr>
      <w:tr>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Reviewer clarification calls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Administrative items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Technical items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Informed</w:t>
            </w:r>
          </w:p>
        </w:tc>
      </w:tr>
      <w:tr>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Schedule risk escalation</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Flags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Flags</w:t>
            </w:r>
          </w:p>
        </w:tc>
        <w:tc>
          <w:tcPr>
            <w:tcW w:type="dxa" w:w="234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Owns the decision</w:t>
            </w:r>
          </w:p>
        </w:tc>
      </w:tr>
    </w:tbl>
    <w:p>
      <w:pPr>
        <w:spacing w:after="120"/>
      </w:pPr>
    </w:p>
    <w:p>
      <w:pPr>
        <w:spacing w:after="160" w:line="300"/>
      </w:pPr>
      <w:r>
        <w:rPr>
          <w:rFonts w:ascii="Calibri" w:cs="Calibri" w:eastAsia="Calibri" w:hAnsi="Calibri"/>
          <w:sz w:val="22"/>
          <w:szCs w:val="22"/>
        </w:rPr>
        <w:t xml:space="preserve">The point of the matrix is not the specific assignments, which will vary by project. It is that every row has exactly one owner, written down before the first submission.</w:t>
      </w:r>
    </w:p>
    <w:p>
      <w:pPr>
        <w:pStyle w:val="Heading2"/>
        <w:spacing w:after="140" w:before="320"/>
      </w:pPr>
      <w:r>
        <w:t xml:space="preserve">A Decision Framework: When to Add an Expediter</w:t>
      </w:r>
    </w:p>
    <w:p>
      <w:pPr>
        <w:spacing w:after="160" w:line="300"/>
      </w:pPr>
      <w:r>
        <w:rPr>
          <w:rFonts w:ascii="Calibri" w:cs="Calibri" w:eastAsia="Calibri" w:hAnsi="Calibri"/>
          <w:sz w:val="22"/>
          <w:szCs w:val="22"/>
        </w:rPr>
        <w:t xml:space="preserve">Three variables drive the decision:</w:t>
      </w:r>
    </w:p>
    <w:p>
      <w:pPr>
        <w:pStyle w:val="ListParagraph"/>
        <w:numPr>
          <w:ilvl w:val="0"/>
          <w:numId w:val="4"/>
        </w:numPr>
        <w:spacing w:after="80" w:line="280"/>
      </w:pPr>
      <w:r>
        <w:rPr>
          <w:rFonts w:ascii="Calibri" w:cs="Calibri" w:eastAsia="Calibri" w:hAnsi="Calibri"/>
          <w:b/>
          <w:bCs/>
          <w:sz w:val="22"/>
          <w:szCs w:val="22"/>
        </w:rPr>
        <w:t xml:space="preserve">Project type.</w:t>
      </w:r>
      <w:r>
        <w:rPr>
          <w:rFonts w:ascii="Calibri" w:cs="Calibri" w:eastAsia="Calibri" w:hAnsi="Calibri"/>
          <w:sz w:val="22"/>
          <w:szCs w:val="22"/>
        </w:rPr>
        <w:t xml:space="preserve"> Complex scopes with many reviewing agencies, such as full kitchens or drive-thrus, benefit more from dedicated tracking than simple retail interiors.</w:t>
      </w:r>
    </w:p>
    <w:p>
      <w:pPr>
        <w:pStyle w:val="ListParagraph"/>
        <w:numPr>
          <w:ilvl w:val="0"/>
          <w:numId w:val="4"/>
        </w:numPr>
        <w:spacing w:after="80" w:line="280"/>
      </w:pPr>
      <w:r>
        <w:rPr>
          <w:rFonts w:ascii="Calibri" w:cs="Calibri" w:eastAsia="Calibri" w:hAnsi="Calibri"/>
          <w:b/>
          <w:bCs/>
          <w:sz w:val="22"/>
          <w:szCs w:val="22"/>
        </w:rPr>
        <w:t xml:space="preserve">Familiarity with the jurisdiction.</w:t>
      </w:r>
      <w:r>
        <w:rPr>
          <w:rFonts w:ascii="Calibri" w:cs="Calibri" w:eastAsia="Calibri" w:hAnsi="Calibri"/>
          <w:sz w:val="22"/>
          <w:szCs w:val="22"/>
        </w:rPr>
        <w:t xml:space="preserve"> In a county where the architect has permitted many projects, the added value of an expediter is smaller. In an unfamiliar market with its own portal and habits, it can be significant.</w:t>
      </w:r>
    </w:p>
    <w:p>
      <w:pPr>
        <w:pStyle w:val="ListParagraph"/>
        <w:numPr>
          <w:ilvl w:val="0"/>
          <w:numId w:val="4"/>
        </w:numPr>
        <w:spacing w:after="80" w:line="280"/>
      </w:pPr>
      <w:r>
        <w:rPr>
          <w:rFonts w:ascii="Calibri" w:cs="Calibri" w:eastAsia="Calibri" w:hAnsi="Calibri"/>
          <w:b/>
          <w:bCs/>
          <w:sz w:val="22"/>
          <w:szCs w:val="22"/>
        </w:rPr>
        <w:t xml:space="preserve">Rollout volume.</w:t>
      </w:r>
      <w:r>
        <w:rPr>
          <w:rFonts w:ascii="Calibri" w:cs="Calibri" w:eastAsia="Calibri" w:hAnsi="Calibri"/>
          <w:sz w:val="22"/>
          <w:szCs w:val="22"/>
        </w:rPr>
        <w:t xml:space="preserve"> When many openings run in parallel, someone needs to hold status across all of them. That can be an expediter, the architect, or an internal coordinator, but it has to be someone.</w:t>
      </w:r>
    </w:p>
    <w:p>
      <w:pPr>
        <w:pStyle w:val="Heading3"/>
        <w:spacing w:after="100" w:before="220"/>
      </w:pPr>
      <w:r>
        <w:t xml:space="preserve">How Brand2Builds Helps</w:t>
      </w:r>
    </w:p>
    <w:p>
      <w:pPr>
        <w:spacing w:after="160" w:line="300"/>
      </w:pPr>
      <w:r>
        <w:rPr>
          <w:rFonts w:ascii="Calibri" w:cs="Calibri" w:eastAsia="Calibri" w:hAnsi="Calibri"/>
          <w:sz w:val="22"/>
          <w:szCs w:val="22"/>
        </w:rPr>
        <w:t xml:space="preserve">Brand2Builds focuses on the part of permitting that depends on the documents: permit-ready construction drawings for each location and proactive communication with the authority having jurisdiction on technical questions and comments. Where a brand also uses an expediter, the team works within an agreed responsibility matrix so nothing falls between the two roles.</w:t>
      </w:r>
    </w:p>
    <w:p>
      <w:pPr>
        <w:pStyle w:val="Heading2"/>
        <w:spacing w:after="140" w:before="320"/>
      </w:pPr>
      <w:r>
        <w:t xml:space="preserve">Illustrative Scenario: Ten Openings Across Five States</w:t>
      </w:r>
    </w:p>
    <w:p>
      <w:pPr>
        <w:spacing w:after="160" w:line="300"/>
      </w:pPr>
      <w:r>
        <w:rPr>
          <w:rFonts w:ascii="Calibri" w:cs="Calibri" w:eastAsia="Calibri" w:hAnsi="Calibri"/>
          <w:sz w:val="22"/>
          <w:szCs w:val="22"/>
        </w:rPr>
        <w:t xml:space="preserve">Consider an illustrative brand with a single new unit in a county where its architect has opened several locations. The architect knows the portal, the reviewers, and the local health department. Adding an expediter may add cost without much benefit. A clear note on who submits and who tracks is enough.</w:t>
      </w:r>
    </w:p>
    <w:p>
      <w:pPr>
        <w:spacing w:after="160" w:line="300"/>
      </w:pPr>
      <w:r>
        <w:rPr>
          <w:rFonts w:ascii="Calibri" w:cs="Calibri" w:eastAsia="Calibri" w:hAnsi="Calibri"/>
          <w:sz w:val="22"/>
          <w:szCs w:val="22"/>
        </w:rPr>
        <w:t xml:space="preserve">Now take the same brand planning ten openings across five states over the next year, including several jurisdictions it has never built in. Status tracking across ten parallel permits is a job in itself, and some of the new jurisdictions have unfamiliar routing requirements. Here, an expediter in the unfamiliar markets, working alongside the architect under a written responsibility matrix, can make sense. The answer changed not because the architect got worse, but because the volume and unfamiliarity changed.</w:t>
      </w:r>
    </w:p>
    <w:p>
      <w:pPr>
        <w:pStyle w:val="Heading2"/>
        <w:spacing w:after="140" w:before="320"/>
      </w:pPr>
      <w:r>
        <w:t xml:space="preserve">Common Mistakes When Splitting Permit Work</w:t>
      </w:r>
    </w:p>
    <w:p>
      <w:pPr>
        <w:spacing w:after="160" w:line="300"/>
      </w:pPr>
      <w:r>
        <w:rPr>
          <w:rFonts w:ascii="Calibri" w:cs="Calibri" w:eastAsia="Calibri" w:hAnsi="Calibri"/>
          <w:sz w:val="22"/>
          <w:szCs w:val="22"/>
        </w:rPr>
        <w:t xml:space="preserve">Brands that add an expediter midstream often run into the same problems. None of them are about the expediter's competence. They come from how the work was divided.</w:t>
      </w:r>
    </w:p>
    <w:p>
      <w:pPr>
        <w:pStyle w:val="ListParagraph"/>
        <w:numPr>
          <w:ilvl w:val="0"/>
          <w:numId w:val="5"/>
        </w:numPr>
        <w:spacing w:after="80" w:line="280"/>
      </w:pPr>
      <w:r>
        <w:rPr>
          <w:rFonts w:ascii="Calibri" w:cs="Calibri" w:eastAsia="Calibri" w:hAnsi="Calibri"/>
          <w:b/>
          <w:bCs/>
          <w:sz w:val="22"/>
          <w:szCs w:val="22"/>
        </w:rPr>
        <w:t xml:space="preserve">Assuming the expediter answers comments.</w:t>
      </w:r>
      <w:r>
        <w:rPr>
          <w:rFonts w:ascii="Calibri" w:cs="Calibri" w:eastAsia="Calibri" w:hAnsi="Calibri"/>
          <w:sz w:val="22"/>
          <w:szCs w:val="22"/>
        </w:rPr>
        <w:t xml:space="preserve"> Administrative comments, such as a missing form or fee, can go to the expediter. Technical comments about the drawings need the architect. When nobody sorts them, technical comments wait.</w:t>
      </w:r>
    </w:p>
    <w:p>
      <w:pPr>
        <w:pStyle w:val="ListParagraph"/>
        <w:numPr>
          <w:ilvl w:val="0"/>
          <w:numId w:val="5"/>
        </w:numPr>
        <w:spacing w:after="80" w:line="280"/>
      </w:pPr>
      <w:r>
        <w:rPr>
          <w:rFonts w:ascii="Calibri" w:cs="Calibri" w:eastAsia="Calibri" w:hAnsi="Calibri"/>
          <w:b/>
          <w:bCs/>
          <w:sz w:val="22"/>
          <w:szCs w:val="22"/>
        </w:rPr>
        <w:t xml:space="preserve">Two parties filing in parallel.</w:t>
      </w:r>
      <w:r>
        <w:rPr>
          <w:rFonts w:ascii="Calibri" w:cs="Calibri" w:eastAsia="Calibri" w:hAnsi="Calibri"/>
          <w:sz w:val="22"/>
          <w:szCs w:val="22"/>
        </w:rPr>
        <w:t xml:space="preserve"> Duplicate or conflicting submissions confuse reviewers and can restart the clock.</w:t>
      </w:r>
    </w:p>
    <w:p>
      <w:pPr>
        <w:pStyle w:val="ListParagraph"/>
        <w:numPr>
          <w:ilvl w:val="0"/>
          <w:numId w:val="5"/>
        </w:numPr>
        <w:spacing w:after="80" w:line="280"/>
      </w:pPr>
      <w:r>
        <w:rPr>
          <w:rFonts w:ascii="Calibri" w:cs="Calibri" w:eastAsia="Calibri" w:hAnsi="Calibri"/>
          <w:b/>
          <w:bCs/>
          <w:sz w:val="22"/>
          <w:szCs w:val="22"/>
        </w:rPr>
        <w:t xml:space="preserve">Status reports that go to the franchisee but not the franchisor.</w:t>
      </w:r>
      <w:r>
        <w:rPr>
          <w:rFonts w:ascii="Calibri" w:cs="Calibri" w:eastAsia="Calibri" w:hAnsi="Calibri"/>
          <w:sz w:val="22"/>
          <w:szCs w:val="22"/>
        </w:rPr>
        <w:t xml:space="preserve"> The brand learns about a slipped date only when the opening is already at risk.</w:t>
      </w:r>
    </w:p>
    <w:p>
      <w:pPr>
        <w:pStyle w:val="ListParagraph"/>
        <w:numPr>
          <w:ilvl w:val="0"/>
          <w:numId w:val="5"/>
        </w:numPr>
        <w:spacing w:after="80" w:line="280"/>
      </w:pPr>
      <w:r>
        <w:rPr>
          <w:rFonts w:ascii="Calibri" w:cs="Calibri" w:eastAsia="Calibri" w:hAnsi="Calibri"/>
          <w:b/>
          <w:bCs/>
          <w:sz w:val="22"/>
          <w:szCs w:val="22"/>
        </w:rPr>
        <w:t xml:space="preserve">No handoff at closeout.</w:t>
      </w:r>
      <w:r>
        <w:rPr>
          <w:rFonts w:ascii="Calibri" w:cs="Calibri" w:eastAsia="Calibri" w:hAnsi="Calibri"/>
          <w:sz w:val="22"/>
          <w:szCs w:val="22"/>
        </w:rPr>
        <w:t xml:space="preserve"> Lessons about a jurisdiction stay with the expediter or the architect and never reach the next project in that market.</w:t>
      </w:r>
    </w:p>
    <w:p>
      <w:pPr>
        <w:pStyle w:val="ListParagraph"/>
        <w:numPr>
          <w:ilvl w:val="0"/>
          <w:numId w:val="5"/>
        </w:numPr>
        <w:spacing w:after="80" w:line="280"/>
      </w:pPr>
      <w:r>
        <w:rPr>
          <w:rFonts w:ascii="Calibri" w:cs="Calibri" w:eastAsia="Calibri" w:hAnsi="Calibri"/>
          <w:b/>
          <w:bCs/>
          <w:sz w:val="22"/>
          <w:szCs w:val="22"/>
        </w:rPr>
        <w:t xml:space="preserve">Adding an expediter to fix a document problem.</w:t>
      </w:r>
      <w:r>
        <w:rPr>
          <w:rFonts w:ascii="Calibri" w:cs="Calibri" w:eastAsia="Calibri" w:hAnsi="Calibri"/>
          <w:sz w:val="22"/>
          <w:szCs w:val="22"/>
        </w:rPr>
        <w:t xml:space="preserve"> If the real issue is incomplete drawings, faster logistics only delivers the same incomplete set more quickly.</w:t>
      </w:r>
    </w:p>
    <w:p>
      <w:pPr>
        <w:pStyle w:val="Heading2"/>
        <w:spacing w:after="140" w:before="320"/>
      </w:pPr>
      <w:r>
        <w:t xml:space="preserve">What Good Status Reporting Looks Like</w:t>
      </w:r>
    </w:p>
    <w:p>
      <w:pPr>
        <w:spacing w:after="160" w:line="300"/>
      </w:pPr>
      <w:r>
        <w:rPr>
          <w:rFonts w:ascii="Calibri" w:cs="Calibri" w:eastAsia="Calibri" w:hAnsi="Calibri"/>
          <w:sz w:val="22"/>
          <w:szCs w:val="22"/>
        </w:rPr>
        <w:t xml:space="preserve">Whoever owns tracking, the report the franchisor receives should make risk visible at a glance. For a multi-location rollout, a simple weekly format covering every active permit works better than scattered emails.</w:t>
      </w:r>
    </w:p>
    <w:p>
      <w:pPr>
        <w:spacing w:after="80" w:before="120"/>
      </w:pPr>
      <w:r>
        <w:rPr>
          <w:rFonts w:ascii="Calibri" w:cs="Calibri" w:eastAsia="Calibri" w:hAnsi="Calibri"/>
          <w:i/>
          <w:iCs/>
          <w:color w:val="5A6573"/>
          <w:sz w:val="20"/>
          <w:szCs w:val="20"/>
        </w:rPr>
        <w:t xml:space="preserve">Suggested fields for a weekly permit status report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C9D1DC" w:sz="4"/>
              <w:left w:val="single" w:color="C9D1DC" w:sz="4"/>
              <w:bottom w:val="single" w:color="C9D1DC" w:sz="4"/>
              <w:right w:val="single" w:color="C9D1DC" w:sz="4"/>
            </w:tcBorders>
            <w:shd w:fill="1E3A5F" w:color="auto" w:val="clear"/>
            <w:tcMar>
              <w:top w:type="dxa" w:w="70"/>
              <w:left w:type="dxa" w:w="100"/>
              <w:bottom w:type="dxa" w:w="70"/>
              <w:right w:type="dxa" w:w="100"/>
            </w:tcMar>
          </w:tcPr>
          <w:p>
            <w:r>
              <w:rPr>
                <w:rFonts w:ascii="Calibri" w:cs="Calibri" w:eastAsia="Calibri" w:hAnsi="Calibri"/>
                <w:b/>
                <w:bCs/>
                <w:color w:val="FFFFFF"/>
                <w:sz w:val="19"/>
                <w:szCs w:val="19"/>
              </w:rPr>
              <w:t xml:space="preserve">Field</w:t>
            </w:r>
          </w:p>
        </w:tc>
        <w:tc>
          <w:tcPr>
            <w:tcW w:type="dxa" w:w="4680"/>
            <w:tcBorders>
              <w:top w:val="single" w:color="C9D1DC" w:sz="4"/>
              <w:left w:val="single" w:color="C9D1DC" w:sz="4"/>
              <w:bottom w:val="single" w:color="C9D1DC" w:sz="4"/>
              <w:right w:val="single" w:color="C9D1DC" w:sz="4"/>
            </w:tcBorders>
            <w:shd w:fill="1E3A5F" w:color="auto" w:val="clear"/>
            <w:tcMar>
              <w:top w:type="dxa" w:w="70"/>
              <w:left w:type="dxa" w:w="100"/>
              <w:bottom w:type="dxa" w:w="70"/>
              <w:right w:type="dxa" w:w="100"/>
            </w:tcMar>
          </w:tcPr>
          <w:p>
            <w:r>
              <w:rPr>
                <w:rFonts w:ascii="Calibri" w:cs="Calibri" w:eastAsia="Calibri" w:hAnsi="Calibri"/>
                <w:b/>
                <w:bCs/>
                <w:color w:val="FFFFFF"/>
                <w:sz w:val="19"/>
                <w:szCs w:val="19"/>
              </w:rPr>
              <w:t xml:space="preserve">What it answers</w:t>
            </w:r>
          </w:p>
        </w:tc>
      </w:tr>
      <w:tr>
        <w:tc>
          <w:tcPr>
            <w:tcW w:type="dxa" w:w="468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Location and jurisdiction</w:t>
            </w:r>
          </w:p>
        </w:tc>
        <w:tc>
          <w:tcPr>
            <w:tcW w:type="dxa" w:w="468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Which project and which reviewing authority</w:t>
            </w:r>
          </w:p>
        </w:tc>
      </w:tr>
      <w:tr>
        <w:tc>
          <w:tcPr>
            <w:tcW w:type="dxa" w:w="468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Current stage</w:t>
            </w:r>
          </w:p>
        </w:tc>
        <w:tc>
          <w:tcPr>
            <w:tcW w:type="dxa" w:w="468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Submitted, in review, comments issued, resubmitted, approved</w:t>
            </w:r>
          </w:p>
        </w:tc>
      </w:tr>
      <w:tr>
        <w:tc>
          <w:tcPr>
            <w:tcW w:type="dxa" w:w="468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Open reviews</w:t>
            </w:r>
          </w:p>
        </w:tc>
        <w:tc>
          <w:tcPr>
            <w:tcW w:type="dxa" w:w="468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Which departments have not yet signed off</w:t>
            </w:r>
          </w:p>
        </w:tc>
      </w:tr>
      <w:tr>
        <w:tc>
          <w:tcPr>
            <w:tcW w:type="dxa" w:w="468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Open comments and owner</w:t>
            </w:r>
          </w:p>
        </w:tc>
        <w:tc>
          <w:tcPr>
            <w:tcW w:type="dxa" w:w="468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What is outstanding and who is responding</w:t>
            </w:r>
          </w:p>
        </w:tc>
      </w:tr>
      <w:tr>
        <w:tc>
          <w:tcPr>
            <w:tcW w:type="dxa" w:w="468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Days in current stage</w:t>
            </w:r>
          </w:p>
        </w:tc>
        <w:tc>
          <w:tcPr>
            <w:tcW w:type="dxa" w:w="468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Whether anything is stalled</w:t>
            </w:r>
          </w:p>
        </w:tc>
      </w:tr>
      <w:tr>
        <w:tc>
          <w:tcPr>
            <w:tcW w:type="dxa" w:w="468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Schedule impact</w:t>
            </w:r>
          </w:p>
        </w:tc>
        <w:tc>
          <w:tcPr>
            <w:tcW w:type="dxa" w:w="4680"/>
            <w:tcBorders>
              <w:top w:val="single" w:color="C9D1DC" w:sz="4"/>
              <w:left w:val="single" w:color="C9D1DC" w:sz="4"/>
              <w:bottom w:val="single" w:color="C9D1DC" w:sz="4"/>
              <w:right w:val="single" w:color="C9D1DC" w:sz="4"/>
            </w:tcBorders>
            <w:shd w:fill="FFFFFF" w:color="auto" w:val="clear"/>
            <w:tcMar>
              <w:top w:type="dxa" w:w="70"/>
              <w:left w:type="dxa" w:w="100"/>
              <w:bottom w:type="dxa" w:w="70"/>
              <w:right w:type="dxa" w:w="100"/>
            </w:tcMar>
          </w:tcPr>
          <w:p>
            <w:r>
              <w:rPr>
                <w:rFonts w:ascii="Calibri" w:cs="Calibri" w:eastAsia="Calibri" w:hAnsi="Calibri"/>
                <w:b w:val="false"/>
                <w:bCs w:val="false"/>
                <w:color w:val="222222"/>
                <w:sz w:val="19"/>
                <w:szCs w:val="19"/>
              </w:rPr>
              <w:t xml:space="preserve">Whether the target opening date is still realistic</w:t>
            </w:r>
          </w:p>
        </w:tc>
      </w:tr>
    </w:tbl>
    <w:p>
      <w:pPr>
        <w:spacing w:after="120"/>
      </w:pPr>
    </w:p>
    <w:p>
      <w:pPr>
        <w:spacing w:after="160" w:line="300"/>
      </w:pPr>
      <w:r>
        <w:rPr>
          <w:rFonts w:ascii="Calibri" w:cs="Calibri" w:eastAsia="Calibri" w:hAnsi="Calibri"/>
          <w:sz w:val="22"/>
          <w:szCs w:val="22"/>
        </w:rPr>
        <w:t xml:space="preserve">The "days in current stage" field is the most useful early warning. A permit that has sat with comments for two weeks without a response is a responsibility problem, and it is much cheaper to catch it then than at the opening date.</w:t>
      </w:r>
    </w:p>
    <w:p>
      <w:pPr>
        <w:pStyle w:val="Heading2"/>
        <w:spacing w:after="140" w:before="320"/>
      </w:pPr>
      <w:r>
        <w:t xml:space="preserve">Contract Language Worth Requiring</w:t>
      </w:r>
    </w:p>
    <w:p>
      <w:pPr>
        <w:pStyle w:val="ListParagraph"/>
        <w:numPr>
          <w:ilvl w:val="0"/>
          <w:numId w:val="6"/>
        </w:numPr>
        <w:spacing w:after="80" w:line="280"/>
      </w:pPr>
      <w:r>
        <w:rPr>
          <w:rFonts w:ascii="Calibri" w:cs="Calibri" w:eastAsia="Calibri" w:hAnsi="Calibri"/>
          <w:sz w:val="22"/>
          <w:szCs w:val="22"/>
        </w:rPr>
        <w:t xml:space="preserve">A named owner for submission, tracking, comment response, and reviewer contact.</w:t>
      </w:r>
    </w:p>
    <w:p>
      <w:pPr>
        <w:pStyle w:val="ListParagraph"/>
        <w:numPr>
          <w:ilvl w:val="0"/>
          <w:numId w:val="6"/>
        </w:numPr>
        <w:spacing w:after="80" w:line="280"/>
      </w:pPr>
      <w:r>
        <w:rPr>
          <w:rFonts w:ascii="Calibri" w:cs="Calibri" w:eastAsia="Calibri" w:hAnsi="Calibri"/>
          <w:sz w:val="22"/>
          <w:szCs w:val="22"/>
        </w:rPr>
        <w:t xml:space="preserve">Response-time expectations for turning around plan review comments.</w:t>
      </w:r>
    </w:p>
    <w:p>
      <w:pPr>
        <w:pStyle w:val="ListParagraph"/>
        <w:numPr>
          <w:ilvl w:val="0"/>
          <w:numId w:val="6"/>
        </w:numPr>
        <w:spacing w:after="80" w:line="280"/>
      </w:pPr>
      <w:r>
        <w:rPr>
          <w:rFonts w:ascii="Calibri" w:cs="Calibri" w:eastAsia="Calibri" w:hAnsi="Calibri"/>
          <w:sz w:val="22"/>
          <w:szCs w:val="22"/>
        </w:rPr>
        <w:t xml:space="preserve">A regular status reporting format and frequency sent to the franchisor.</w:t>
      </w:r>
    </w:p>
    <w:p>
      <w:pPr>
        <w:pStyle w:val="ListParagraph"/>
        <w:numPr>
          <w:ilvl w:val="0"/>
          <w:numId w:val="6"/>
        </w:numPr>
        <w:spacing w:after="80" w:line="280"/>
      </w:pPr>
      <w:r>
        <w:rPr>
          <w:rFonts w:ascii="Calibri" w:cs="Calibri" w:eastAsia="Calibri" w:hAnsi="Calibri"/>
          <w:sz w:val="22"/>
          <w:szCs w:val="22"/>
        </w:rPr>
        <w:t xml:space="preserve">A clear rule for who decides whether a comment requires a brand-impacting change.</w:t>
      </w:r>
    </w:p>
    <w:p>
      <w:pPr>
        <w:pStyle w:val="ListParagraph"/>
        <w:numPr>
          <w:ilvl w:val="0"/>
          <w:numId w:val="6"/>
        </w:numPr>
        <w:spacing w:after="80" w:line="280"/>
      </w:pPr>
      <w:r>
        <w:rPr>
          <w:rFonts w:ascii="Calibri" w:cs="Calibri" w:eastAsia="Calibri" w:hAnsi="Calibri"/>
          <w:sz w:val="22"/>
          <w:szCs w:val="22"/>
        </w:rPr>
        <w:t xml:space="preserve">An escalation path when the schedule is at risk.</w:t>
      </w:r>
    </w:p>
    <w:p>
      <w:pPr>
        <w:spacing w:after="160" w:line="300"/>
      </w:pPr>
      <w:r>
        <w:rPr>
          <w:rFonts w:ascii="Calibri" w:cs="Calibri" w:eastAsia="Calibri" w:hAnsi="Calibri"/>
          <w:sz w:val="22"/>
          <w:szCs w:val="22"/>
        </w:rPr>
        <w:t xml:space="preserve">For context on typical timelines and how they vary, see our articles on whether 90 days is a realistic permit timeline and on permits by state.</w:t>
      </w:r>
    </w:p>
    <w:p>
      <w:pPr>
        <w:pStyle w:val="Heading2"/>
        <w:spacing w:after="140" w:before="320"/>
      </w:pPr>
      <w:r>
        <w:t xml:space="preserve">Frequently Asked Questions</w:t>
      </w:r>
    </w:p>
    <w:p>
      <w:pPr>
        <w:pStyle w:val="Heading3"/>
        <w:spacing w:after="100" w:before="220"/>
      </w:pPr>
      <w:r>
        <w:t xml:space="preserve">Does an architect handle permit expediting?</w:t>
      </w:r>
    </w:p>
    <w:p>
      <w:pPr>
        <w:spacing w:after="160" w:line="300"/>
      </w:pPr>
      <w:r>
        <w:rPr>
          <w:rFonts w:ascii="Calibri" w:cs="Calibri" w:eastAsia="Calibri" w:hAnsi="Calibri"/>
          <w:sz w:val="22"/>
          <w:szCs w:val="22"/>
        </w:rPr>
        <w:t xml:space="preserve">It depends on the scope and the contract. Many architects file applications and track status as part of their services, while others provide documents only. Confirm in writing who submits, who tracks, who responds to comments, and who contacts reviewers, rather than assuming it is included.</w:t>
      </w:r>
    </w:p>
    <w:p>
      <w:pPr>
        <w:pStyle w:val="Heading3"/>
        <w:spacing w:after="100" w:before="220"/>
      </w:pPr>
      <w:r>
        <w:t xml:space="preserve">When is a permit expediter worth the cost?</w:t>
      </w:r>
    </w:p>
    <w:p>
      <w:pPr>
        <w:spacing w:after="160" w:line="300"/>
      </w:pPr>
      <w:r>
        <w:rPr>
          <w:rFonts w:ascii="Calibri" w:cs="Calibri" w:eastAsia="Calibri" w:hAnsi="Calibri"/>
          <w:sz w:val="22"/>
          <w:szCs w:val="22"/>
        </w:rPr>
        <w:t xml:space="preserve">Common triggers include entering jurisdictions your team and architect do not know, running many openings in parallel, scopes that require routing to several agencies, and a history of missed reviews or unanswered comments. If none of these apply, a clear responsibility matrix may be enough.</w:t>
      </w:r>
    </w:p>
    <w:p>
      <w:pPr>
        <w:pStyle w:val="Heading3"/>
        <w:spacing w:after="100" w:before="220"/>
      </w:pPr>
      <w:r>
        <w:t xml:space="preserve">Who is responsible if a permit is delayed?</w:t>
      </w:r>
    </w:p>
    <w:p>
      <w:pPr>
        <w:spacing w:after="160" w:line="300"/>
      </w:pPr>
      <w:r>
        <w:rPr>
          <w:rFonts w:ascii="Calibri" w:cs="Calibri" w:eastAsia="Calibri" w:hAnsi="Calibri"/>
          <w:sz w:val="22"/>
          <w:szCs w:val="22"/>
        </w:rPr>
        <w:t xml:space="preserve">It depends on the cause. If the delay comes from incomplete or incorrect documents, it traces back to the document preparer. If it comes from logistics, such as a missed submission or an unrouted review, it traces to whoever owned that task. Some delays come from the jurisdiction itself, such as review backlogs, which no party fully controls. A written matrix makes this easier to sort out.</w:t>
      </w:r>
    </w:p>
    <w:p>
      <w:pPr>
        <w:spacing w:before="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622B" w:sz="24"/>
              <w:left w:val="single" w:color="C9D1DC" w:sz="4"/>
              <w:bottom w:val="single" w:color="C9D1DC" w:sz="4"/>
              <w:right w:val="single" w:color="C9D1DC" w:sz="4"/>
            </w:tcBorders>
            <w:shd w:fill="1E3A5F" w:color="auto" w:val="clear"/>
            <w:tcMar>
              <w:top w:type="dxa" w:w="240"/>
              <w:left w:type="dxa" w:w="300"/>
              <w:bottom w:type="dxa" w:w="240"/>
              <w:right w:type="dxa" w:w="300"/>
            </w:tcMar>
          </w:tcPr>
          <w:p>
            <w:pPr>
              <w:spacing w:after="120"/>
            </w:pPr>
            <w:r>
              <w:rPr>
                <w:rFonts w:ascii="Calibri" w:cs="Calibri" w:eastAsia="Calibri" w:hAnsi="Calibri"/>
                <w:b/>
                <w:bCs/>
                <w:color w:val="FFFFFF"/>
                <w:sz w:val="28"/>
                <w:szCs w:val="28"/>
              </w:rPr>
              <w:t xml:space="preserve">Discuss How Permitting Is Handled in Your Rollout</w:t>
            </w:r>
          </w:p>
          <w:p>
            <w:pPr>
              <w:spacing w:after="160" w:line="290"/>
            </w:pPr>
            <w:r>
              <w:rPr>
                <w:rFonts w:ascii="Calibri" w:cs="Calibri" w:eastAsia="Calibri" w:hAnsi="Calibri"/>
                <w:color w:val="FFFFFF"/>
                <w:sz w:val="22"/>
                <w:szCs w:val="22"/>
              </w:rPr>
              <w:t xml:space="preserve">If permit responsibility in your rollout is split across several parties and nobody is sure who owns what, it is worth a short conversation. Talk with Brand2Builds about your pipeline, your markets, and how permit-ready documentation fits with the way you handle submissions today.</w:t>
            </w:r>
          </w:p>
          <w:p>
            <w:r>
              <w:rPr>
                <w:rFonts w:ascii="Calibri" w:cs="Calibri" w:eastAsia="Calibri" w:hAnsi="Calibri"/>
                <w:b/>
                <w:bCs/>
                <w:color w:val="F4A26B"/>
                <w:sz w:val="22"/>
                <w:szCs w:val="22"/>
              </w:rPr>
              <w:t xml:space="preserve">Start a permitting conversation with Brand2Builds</w:t>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abstractNum w:abstractNumId="6"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1E3A5F"/>
      <w:sz w:val="40"/>
      <w:szCs w:val="40"/>
    </w:rPr>
  </w:style>
  <w:style w:type="paragraph" w:styleId="Heading2">
    <w:name w:val="Heading 2"/>
    <w:basedOn w:val="Normal"/>
    <w:next w:val="Normal"/>
    <w:qFormat/>
    <w:pPr>
      <w:outlineLvl w:val="1"/>
    </w:pPr>
    <w:rPr>
      <w:rFonts w:ascii="Calibri" w:cs="Calibri" w:eastAsia="Calibri" w:hAnsi="Calibri"/>
      <w:b/>
      <w:bCs/>
      <w:color w:val="1E3A5F"/>
      <w:sz w:val="30"/>
      <w:szCs w:val="30"/>
    </w:rPr>
  </w:style>
  <w:style w:type="paragraph" w:styleId="Heading3">
    <w:name w:val="Heading 3"/>
    <w:basedOn w:val="Normal"/>
    <w:next w:val="Normal"/>
    <w:qFormat/>
    <w:pPr>
      <w:outlineLvl w:val="2"/>
    </w:pPr>
    <w:rPr>
      <w:rFonts w:ascii="Calibri" w:cs="Calibri" w:eastAsia="Calibri" w:hAnsi="Calibri"/>
      <w:b/>
      <w:bCs/>
      <w:color w:val="D9622B"/>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2026-09-29T12:53:51.687Z</dcterms:created>
  <dcterms:modified xsi:type="dcterms:W3CDTF">2026-09-29T12:53:51.688Z</dcterms:modified>
</cp:coreProperties>
</file>

<file path=docProps/custom.xml><?xml version="1.0" encoding="utf-8"?>
<Properties xmlns="http://schemas.openxmlformats.org/officeDocument/2006/custom-properties" xmlns:vt="http://schemas.openxmlformats.org/officeDocument/2006/docPropsVTypes"/>
</file>