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c>
          <w:tcPr>
            <w:tcW w:type="dxa" w:w="2200"/>
            <w:tcBorders>
              <w:top w:val="single" w:color="C9D1DC" w:sz="4"/>
              <w:left w:val="single" w:color="C9D1DC" w:sz="4"/>
              <w:bottom w:val="single" w:color="C9D1DC" w:sz="4"/>
              <w:right w:val="single" w:color="C9D1DC" w:sz="4"/>
            </w:tcBorders>
            <w:shd w:fill="1E3A5F" w:color="auto" w:val="clear"/>
            <w:tcMar>
              <w:top w:type="dxa" w:w="80"/>
              <w:left w:type="dxa" w:w="120"/>
              <w:bottom w:type="dxa" w:w="80"/>
              <w:right w:type="dxa" w:w="120"/>
            </w:tcMar>
          </w:tcPr>
          <w:p>
            <w:r>
              <w:rPr>
                <w:rFonts w:ascii="Calibri" w:cs="Calibri" w:eastAsia="Calibri" w:hAnsi="Calibri"/>
                <w:b/>
                <w:bCs/>
                <w:color w:val="FFFFFF"/>
                <w:sz w:val="20"/>
                <w:szCs w:val="20"/>
              </w:rPr>
              <w:t xml:space="preserve">Meta Title</w:t>
            </w:r>
          </w:p>
        </w:tc>
        <w:tc>
          <w:tcPr>
            <w:tcW w:type="dxa" w:w="7160"/>
            <w:tcBorders>
              <w:top w:val="single" w:color="C9D1DC" w:sz="4"/>
              <w:left w:val="single" w:color="C9D1DC" w:sz="4"/>
              <w:bottom w:val="single" w:color="C9D1DC" w:sz="4"/>
              <w:right w:val="single" w:color="C9D1DC" w:sz="4"/>
            </w:tcBorders>
            <w:shd w:fill="EEF2F7" w:color="auto" w:val="clear"/>
            <w:tcMar>
              <w:top w:type="dxa" w:w="80"/>
              <w:left w:type="dxa" w:w="120"/>
              <w:bottom w:type="dxa" w:w="80"/>
              <w:right w:type="dxa" w:w="120"/>
            </w:tcMar>
          </w:tcPr>
          <w:p>
            <w:r>
              <w:rPr>
                <w:rFonts w:ascii="Calibri" w:cs="Calibri" w:eastAsia="Calibri" w:hAnsi="Calibri"/>
                <w:sz w:val="20"/>
                <w:szCs w:val="20"/>
              </w:rPr>
              <w:t xml:space="preserve">Second-Generation Restaurant Space: Pros, Cons, and a Reuse Checklist</w:t>
            </w:r>
          </w:p>
        </w:tc>
      </w:tr>
      <w:tr>
        <w:tc>
          <w:tcPr>
            <w:tcW w:type="dxa" w:w="2200"/>
            <w:tcBorders>
              <w:top w:val="single" w:color="C9D1DC" w:sz="4"/>
              <w:left w:val="single" w:color="C9D1DC" w:sz="4"/>
              <w:bottom w:val="single" w:color="C9D1DC" w:sz="4"/>
              <w:right w:val="single" w:color="C9D1DC" w:sz="4"/>
            </w:tcBorders>
            <w:shd w:fill="1E3A5F" w:color="auto" w:val="clear"/>
            <w:tcMar>
              <w:top w:type="dxa" w:w="80"/>
              <w:left w:type="dxa" w:w="120"/>
              <w:bottom w:type="dxa" w:w="80"/>
              <w:right w:type="dxa" w:w="120"/>
            </w:tcMar>
          </w:tcPr>
          <w:p>
            <w:r>
              <w:rPr>
                <w:rFonts w:ascii="Calibri" w:cs="Calibri" w:eastAsia="Calibri" w:hAnsi="Calibri"/>
                <w:b/>
                <w:bCs/>
                <w:color w:val="FFFFFF"/>
                <w:sz w:val="20"/>
                <w:szCs w:val="20"/>
              </w:rPr>
              <w:t xml:space="preserve">Meta Description</w:t>
            </w:r>
          </w:p>
        </w:tc>
        <w:tc>
          <w:tcPr>
            <w:tcW w:type="dxa" w:w="7160"/>
            <w:tcBorders>
              <w:top w:val="single" w:color="C9D1DC" w:sz="4"/>
              <w:left w:val="single" w:color="C9D1DC" w:sz="4"/>
              <w:bottom w:val="single" w:color="C9D1DC" w:sz="4"/>
              <w:right w:val="single" w:color="C9D1DC" w:sz="4"/>
            </w:tcBorders>
            <w:shd w:fill="EEF2F7" w:color="auto" w:val="clear"/>
            <w:tcMar>
              <w:top w:type="dxa" w:w="80"/>
              <w:left w:type="dxa" w:w="120"/>
              <w:bottom w:type="dxa" w:w="80"/>
              <w:right w:type="dxa" w:w="120"/>
            </w:tcMar>
          </w:tcPr>
          <w:p>
            <w:r>
              <w:rPr>
                <w:rFonts w:ascii="Calibri" w:cs="Calibri" w:eastAsia="Calibri" w:hAnsi="Calibri"/>
                <w:sz w:val="20"/>
                <w:szCs w:val="20"/>
              </w:rPr>
              <w:t xml:space="preserve">Is a second-generation restaurant space a shortcut or a trap for your franchise? Verify the hood, grease interceptor, utilities, and layout before you sign, then decide to reuse, modify, or gut.</w:t>
            </w:r>
          </w:p>
        </w:tc>
      </w:tr>
      <w:tr>
        <w:tc>
          <w:tcPr>
            <w:tcW w:type="dxa" w:w="2200"/>
            <w:tcBorders>
              <w:top w:val="single" w:color="C9D1DC" w:sz="4"/>
              <w:left w:val="single" w:color="C9D1DC" w:sz="4"/>
              <w:bottom w:val="single" w:color="C9D1DC" w:sz="4"/>
              <w:right w:val="single" w:color="C9D1DC" w:sz="4"/>
            </w:tcBorders>
            <w:shd w:fill="1E3A5F" w:color="auto" w:val="clear"/>
            <w:tcMar>
              <w:top w:type="dxa" w:w="80"/>
              <w:left w:type="dxa" w:w="120"/>
              <w:bottom w:type="dxa" w:w="80"/>
              <w:right w:type="dxa" w:w="120"/>
            </w:tcMar>
          </w:tcPr>
          <w:p>
            <w:r>
              <w:rPr>
                <w:rFonts w:ascii="Calibri" w:cs="Calibri" w:eastAsia="Calibri" w:hAnsi="Calibri"/>
                <w:b/>
                <w:bCs/>
                <w:color w:val="FFFFFF"/>
                <w:sz w:val="20"/>
                <w:szCs w:val="20"/>
              </w:rPr>
              <w:t xml:space="preserve">URL Slug</w:t>
            </w:r>
          </w:p>
        </w:tc>
        <w:tc>
          <w:tcPr>
            <w:tcW w:type="dxa" w:w="7160"/>
            <w:tcBorders>
              <w:top w:val="single" w:color="C9D1DC" w:sz="4"/>
              <w:left w:val="single" w:color="C9D1DC" w:sz="4"/>
              <w:bottom w:val="single" w:color="C9D1DC" w:sz="4"/>
              <w:right w:val="single" w:color="C9D1DC" w:sz="4"/>
            </w:tcBorders>
            <w:shd w:fill="EEF2F7" w:color="auto" w:val="clear"/>
            <w:tcMar>
              <w:top w:type="dxa" w:w="80"/>
              <w:left w:type="dxa" w:w="120"/>
              <w:bottom w:type="dxa" w:w="80"/>
              <w:right w:type="dxa" w:w="120"/>
            </w:tcMar>
          </w:tcPr>
          <w:p>
            <w:r>
              <w:rPr>
                <w:rFonts w:ascii="Calibri" w:cs="Calibri" w:eastAsia="Calibri" w:hAnsi="Calibri"/>
                <w:sz w:val="20"/>
                <w:szCs w:val="20"/>
              </w:rPr>
              <w:t xml:space="preserve">/blog/second-generation-restaurant-space</w:t>
            </w:r>
          </w:p>
        </w:tc>
      </w:tr>
      <w:tr>
        <w:tc>
          <w:tcPr>
            <w:tcW w:type="dxa" w:w="2200"/>
            <w:tcBorders>
              <w:top w:val="single" w:color="C9D1DC" w:sz="4"/>
              <w:left w:val="single" w:color="C9D1DC" w:sz="4"/>
              <w:bottom w:val="single" w:color="C9D1DC" w:sz="4"/>
              <w:right w:val="single" w:color="C9D1DC" w:sz="4"/>
            </w:tcBorders>
            <w:shd w:fill="1E3A5F" w:color="auto" w:val="clear"/>
            <w:tcMar>
              <w:top w:type="dxa" w:w="80"/>
              <w:left w:type="dxa" w:w="120"/>
              <w:bottom w:type="dxa" w:w="80"/>
              <w:right w:type="dxa" w:w="120"/>
            </w:tcMar>
          </w:tcPr>
          <w:p>
            <w:r>
              <w:rPr>
                <w:rFonts w:ascii="Calibri" w:cs="Calibri" w:eastAsia="Calibri" w:hAnsi="Calibri"/>
                <w:b/>
                <w:bCs/>
                <w:color w:val="FFFFFF"/>
                <w:sz w:val="20"/>
                <w:szCs w:val="20"/>
              </w:rPr>
              <w:t xml:space="preserve">Main Keyword</w:t>
            </w:r>
          </w:p>
        </w:tc>
        <w:tc>
          <w:tcPr>
            <w:tcW w:type="dxa" w:w="7160"/>
            <w:tcBorders>
              <w:top w:val="single" w:color="C9D1DC" w:sz="4"/>
              <w:left w:val="single" w:color="C9D1DC" w:sz="4"/>
              <w:bottom w:val="single" w:color="C9D1DC" w:sz="4"/>
              <w:right w:val="single" w:color="C9D1DC" w:sz="4"/>
            </w:tcBorders>
            <w:shd w:fill="EEF2F7" w:color="auto" w:val="clear"/>
            <w:tcMar>
              <w:top w:type="dxa" w:w="80"/>
              <w:left w:type="dxa" w:w="120"/>
              <w:bottom w:type="dxa" w:w="80"/>
              <w:right w:type="dxa" w:w="120"/>
            </w:tcMar>
          </w:tcPr>
          <w:p>
            <w:r>
              <w:rPr>
                <w:rFonts w:ascii="Calibri" w:cs="Calibri" w:eastAsia="Calibri" w:hAnsi="Calibri"/>
                <w:sz w:val="20"/>
                <w:szCs w:val="20"/>
              </w:rPr>
              <w:t xml:space="preserve">second-generation restaurant space</w:t>
            </w:r>
          </w:p>
        </w:tc>
      </w:tr>
      <w:tr>
        <w:tc>
          <w:tcPr>
            <w:tcW w:type="dxa" w:w="2200"/>
            <w:tcBorders>
              <w:top w:val="single" w:color="C9D1DC" w:sz="4"/>
              <w:left w:val="single" w:color="C9D1DC" w:sz="4"/>
              <w:bottom w:val="single" w:color="C9D1DC" w:sz="4"/>
              <w:right w:val="single" w:color="C9D1DC" w:sz="4"/>
            </w:tcBorders>
            <w:shd w:fill="1E3A5F" w:color="auto" w:val="clear"/>
            <w:tcMar>
              <w:top w:type="dxa" w:w="80"/>
              <w:left w:type="dxa" w:w="120"/>
              <w:bottom w:type="dxa" w:w="80"/>
              <w:right w:type="dxa" w:w="120"/>
            </w:tcMar>
          </w:tcPr>
          <w:p>
            <w:r>
              <w:rPr>
                <w:rFonts w:ascii="Calibri" w:cs="Calibri" w:eastAsia="Calibri" w:hAnsi="Calibri"/>
                <w:b/>
                <w:bCs/>
                <w:color w:val="FFFFFF"/>
                <w:sz w:val="20"/>
                <w:szCs w:val="20"/>
              </w:rPr>
              <w:t xml:space="preserve">Internal Links</w:t>
            </w:r>
          </w:p>
        </w:tc>
        <w:tc>
          <w:tcPr>
            <w:tcW w:type="dxa" w:w="7160"/>
            <w:tcBorders>
              <w:top w:val="single" w:color="C9D1DC" w:sz="4"/>
              <w:left w:val="single" w:color="C9D1DC" w:sz="4"/>
              <w:bottom w:val="single" w:color="C9D1DC" w:sz="4"/>
              <w:right w:val="single" w:color="C9D1DC" w:sz="4"/>
            </w:tcBorders>
            <w:shd w:fill="EEF2F7" w:color="auto" w:val="clear"/>
            <w:tcMar>
              <w:top w:type="dxa" w:w="80"/>
              <w:left w:type="dxa" w:w="120"/>
              <w:bottom w:type="dxa" w:w="80"/>
              <w:right w:type="dxa" w:w="120"/>
            </w:tcMar>
          </w:tcPr>
          <w:p>
            <w:r>
              <w:rPr>
                <w:rFonts w:ascii="Calibri" w:cs="Calibri" w:eastAsia="Calibri" w:hAnsi="Calibri"/>
                <w:sz w:val="20"/>
                <w:szCs w:val="20"/>
              </w:rPr>
              <w:t xml:space="preserve">Published: go/no-go site checklist; pre-lease mistakes</w:t>
            </w:r>
          </w:p>
          <w:p>
            <w:r>
              <w:rPr>
                <w:rFonts w:ascii="Calibri" w:cs="Calibri" w:eastAsia="Calibri" w:hAnsi="Calibri"/>
                <w:sz w:val="20"/>
                <w:szCs w:val="20"/>
              </w:rPr>
              <w:t xml:space="preserve">Upcoming (link once live): utility requirements; franchise test fit</w:t>
            </w:r>
          </w:p>
        </w:tc>
      </w:tr>
    </w:tbl>
    <w:p>
      <w:pPr>
        <w:pStyle w:val="Heading1"/>
        <w:spacing w:after="200" w:before="360"/>
      </w:pPr>
      <w:r>
        <w:t xml:space="preserve">Second-Generation Restaurant Space: When Converting an Existing Space Helps or Hurts a Franchise Rollout</w:t>
      </w:r>
    </w:p>
    <w:p>
      <w:pPr>
        <w:pBdr>
          <w:left w:val="single" w:color="D9622B" w:sz="18" w:space="10"/>
        </w:pBdr>
        <w:spacing w:after="200" w:line="300"/>
        <w:ind w:left="200"/>
      </w:pPr>
      <w:r>
        <w:rPr>
          <w:rFonts w:ascii="Calibri" w:cs="Calibri" w:eastAsia="Calibri" w:hAnsi="Calibri"/>
          <w:sz w:val="23"/>
          <w:szCs w:val="23"/>
        </w:rPr>
        <w:t xml:space="preserve">A second-generation restaurant space can shorten a build-out, but only when the existing hood, grease interceptor, utilities, and layout are verified against the new concept. Without that verification, inherited systems can add redesign, upgrades, and delays that cancel the expected savings.</w:t>
      </w:r>
    </w:p>
    <w:p>
      <w:pPr>
        <w:spacing w:after="160" w:line="300"/>
      </w:pPr>
      <w:r>
        <w:rPr>
          <w:rFonts w:ascii="Calibri" w:cs="Calibri" w:eastAsia="Calibri" w:hAnsi="Calibri"/>
          <w:sz w:val="22"/>
          <w:szCs w:val="22"/>
        </w:rPr>
        <w:t xml:space="preserve">The pitch usually sounds the same. A broker or landlord calls a former restaurant "turnkey" because the hood, restrooms, and kitchen are already in place. For a franchise real estate team or a multi-unit franchisee under pressure to hit an opening schedule, that is an appealing story: less construction, lower cost, faster opening.</w:t>
      </w:r>
    </w:p>
    <w:p>
      <w:pPr>
        <w:spacing w:after="160" w:line="300"/>
      </w:pPr>
      <w:r>
        <w:rPr>
          <w:rFonts w:ascii="Calibri" w:cs="Calibri" w:eastAsia="Calibri" w:hAnsi="Calibri"/>
          <w:sz w:val="22"/>
          <w:szCs w:val="22"/>
        </w:rPr>
        <w:t xml:space="preserve">Sometimes it is true. But the existing infrastructure is a </w:t>
      </w:r>
      <w:r>
        <w:rPr>
          <w:rFonts w:ascii="Calibri" w:cs="Calibri" w:eastAsia="Calibri" w:hAnsi="Calibri"/>
          <w:b/>
          <w:bCs/>
          <w:sz w:val="22"/>
          <w:szCs w:val="22"/>
        </w:rPr>
        <w:t xml:space="preserve">hypothesis to test</w:t>
      </w:r>
      <w:r>
        <w:rPr>
          <w:rFonts w:ascii="Calibri" w:cs="Calibri" w:eastAsia="Calibri" w:hAnsi="Calibri"/>
          <w:sz w:val="22"/>
          <w:szCs w:val="22"/>
        </w:rPr>
        <w:t xml:space="preserve">, not a discount to bank. The problems in a </w:t>
      </w:r>
      <w:r>
        <w:rPr>
          <w:rFonts w:ascii="Calibri" w:cs="Calibri" w:eastAsia="Calibri" w:hAnsi="Calibri"/>
          <w:b/>
          <w:bCs/>
          <w:sz w:val="22"/>
          <w:szCs w:val="22"/>
        </w:rPr>
        <w:t xml:space="preserve">second-generation restaurant space</w:t>
      </w:r>
      <w:r>
        <w:rPr>
          <w:rFonts w:ascii="Calibri" w:cs="Calibri" w:eastAsia="Calibri" w:hAnsi="Calibri"/>
          <w:sz w:val="22"/>
          <w:szCs w:val="22"/>
        </w:rPr>
        <w:t xml:space="preserve"> tend to surface after the lease is signed, which is exactly when you have the least leverage to renegotiate. This article lays out a verify-then-decide approach that ends in one of three calls: reuse, modify, or gut.</w:t>
      </w:r>
    </w:p>
    <w:p>
      <w:pPr>
        <w:pBdr>
          <w:bottom w:val="single" w:color="D9622B" w:sz="8" w:space="1"/>
        </w:pBdr>
        <w:spacing w:after="200" w:before="120"/>
      </w:pPr>
    </w:p>
    <w:p>
      <w:pPr>
        <w:pStyle w:val="Heading2"/>
        <w:spacing w:after="140" w:before="320"/>
      </w:pPr>
      <w:r>
        <w:t xml:space="preserve">Why Second-Generation Space Is Genuinely Attractive</w:t>
      </w:r>
    </w:p>
    <w:p>
      <w:pPr>
        <w:spacing w:after="160" w:line="300"/>
      </w:pPr>
      <w:r>
        <w:rPr>
          <w:rFonts w:ascii="Calibri" w:cs="Calibri" w:eastAsia="Calibri" w:hAnsi="Calibri"/>
          <w:sz w:val="22"/>
          <w:szCs w:val="22"/>
        </w:rPr>
        <w:t xml:space="preserve">There are good reasons to look seriously at a former restaurant. The zoning use is often already established. There may be an existing grease interceptor, a hood and exhaust path through the roof, gas service, and plumbing sized for food service. Landlords of second-generation spaces are sometimes more flexible on terms because they want the space filled quickly.</w:t>
      </w:r>
    </w:p>
    <w:p>
      <w:pPr>
        <w:spacing w:after="160" w:line="300"/>
      </w:pPr>
      <w:r>
        <w:rPr>
          <w:rFonts w:ascii="Calibri" w:cs="Calibri" w:eastAsia="Calibri" w:hAnsi="Calibri"/>
          <w:sz w:val="22"/>
          <w:szCs w:val="22"/>
        </w:rPr>
        <w:t xml:space="preserve">Second-generation space tends to deliver on its promise when three things line up: the previous concept cooked in a similar way to yours, the equipment and systems are in good, documented condition, and the layout roughly matches your brand's kitchen and service flow. When any of those is missing, the advantage starts to shrink.</w:t>
      </w:r>
    </w:p>
    <w:p>
      <w:pPr>
        <w:pStyle w:val="Heading2"/>
        <w:spacing w:after="140" w:before="320"/>
      </w:pPr>
      <w:r>
        <w:t xml:space="preserve">The Risks That Erase the Advantage</w:t>
      </w:r>
    </w:p>
    <w:p>
      <w:pPr>
        <w:pStyle w:val="ListParagraph"/>
        <w:numPr>
          <w:ilvl w:val="0"/>
          <w:numId w:val="2"/>
        </w:numPr>
        <w:spacing w:after="80" w:line="280"/>
      </w:pPr>
      <w:r>
        <w:rPr>
          <w:rFonts w:ascii="Calibri" w:cs="Calibri" w:eastAsia="Calibri" w:hAnsi="Calibri"/>
          <w:b/>
          <w:bCs/>
          <w:sz w:val="22"/>
          <w:szCs w:val="22"/>
        </w:rPr>
        <w:t xml:space="preserve">A hood or exhaust system that cannot support your cooking line.</w:t>
      </w:r>
      <w:r>
        <w:rPr>
          <w:rFonts w:ascii="Calibri" w:cs="Calibri" w:eastAsia="Calibri" w:hAnsi="Calibri"/>
          <w:sz w:val="22"/>
          <w:szCs w:val="22"/>
        </w:rPr>
        <w:t xml:space="preserve"> Different equipment can mean a different hood type, length, or exhaust capacity.</w:t>
      </w:r>
    </w:p>
    <w:p>
      <w:pPr>
        <w:pStyle w:val="ListParagraph"/>
        <w:numPr>
          <w:ilvl w:val="0"/>
          <w:numId w:val="2"/>
        </w:numPr>
        <w:spacing w:after="80" w:line="280"/>
      </w:pPr>
      <w:r>
        <w:rPr>
          <w:rFonts w:ascii="Calibri" w:cs="Calibri" w:eastAsia="Calibri" w:hAnsi="Calibri"/>
          <w:b/>
          <w:bCs/>
          <w:sz w:val="22"/>
          <w:szCs w:val="22"/>
        </w:rPr>
        <w:t xml:space="preserve">An undersized or shared grease interceptor.</w:t>
      </w:r>
      <w:r>
        <w:rPr>
          <w:rFonts w:ascii="Calibri" w:cs="Calibri" w:eastAsia="Calibri" w:hAnsi="Calibri"/>
          <w:sz w:val="22"/>
          <w:szCs w:val="22"/>
        </w:rPr>
        <w:t xml:space="preserve"> A shared interceptor can complicate maintenance and responsibility, and the size may not match your concept's needs.</w:t>
      </w:r>
    </w:p>
    <w:p>
      <w:pPr>
        <w:pStyle w:val="ListParagraph"/>
        <w:numPr>
          <w:ilvl w:val="0"/>
          <w:numId w:val="2"/>
        </w:numPr>
        <w:spacing w:after="80" w:line="280"/>
      </w:pPr>
      <w:r>
        <w:rPr>
          <w:rFonts w:ascii="Calibri" w:cs="Calibri" w:eastAsia="Calibri" w:hAnsi="Calibri"/>
          <w:b/>
          <w:bCs/>
          <w:sz w:val="22"/>
          <w:szCs w:val="22"/>
        </w:rPr>
        <w:t xml:space="preserve">Electrical and gas service built for a different concept.</w:t>
      </w:r>
      <w:r>
        <w:rPr>
          <w:rFonts w:ascii="Calibri" w:cs="Calibri" w:eastAsia="Calibri" w:hAnsi="Calibri"/>
          <w:sz w:val="22"/>
          <w:szCs w:val="22"/>
        </w:rPr>
        <w:t xml:space="preserve"> Your equipment schedule may need more capacity, or capacity in different places.</w:t>
      </w:r>
    </w:p>
    <w:p>
      <w:pPr>
        <w:pStyle w:val="ListParagraph"/>
        <w:numPr>
          <w:ilvl w:val="0"/>
          <w:numId w:val="2"/>
        </w:numPr>
        <w:spacing w:after="80" w:line="280"/>
      </w:pPr>
      <w:r>
        <w:rPr>
          <w:rFonts w:ascii="Calibri" w:cs="Calibri" w:eastAsia="Calibri" w:hAnsi="Calibri"/>
          <w:b/>
          <w:bCs/>
          <w:sz w:val="22"/>
          <w:szCs w:val="22"/>
        </w:rPr>
        <w:t xml:space="preserve">Restrooms or routes that do not meet current accessibility expectations.</w:t>
      </w:r>
      <w:r>
        <w:rPr>
          <w:rFonts w:ascii="Calibri" w:cs="Calibri" w:eastAsia="Calibri" w:hAnsi="Calibri"/>
          <w:sz w:val="22"/>
          <w:szCs w:val="22"/>
        </w:rPr>
        <w:t xml:space="preserve"> What was accepted years ago may not be accepted now.</w:t>
      </w:r>
    </w:p>
    <w:p>
      <w:pPr>
        <w:pStyle w:val="ListParagraph"/>
        <w:numPr>
          <w:ilvl w:val="0"/>
          <w:numId w:val="2"/>
        </w:numPr>
        <w:spacing w:after="80" w:line="280"/>
      </w:pPr>
      <w:r>
        <w:rPr>
          <w:rFonts w:ascii="Calibri" w:cs="Calibri" w:eastAsia="Calibri" w:hAnsi="Calibri"/>
          <w:b/>
          <w:bCs/>
          <w:sz w:val="22"/>
          <w:szCs w:val="22"/>
        </w:rPr>
        <w:t xml:space="preserve">A layout built around the previous tenant's workflow.</w:t>
      </w:r>
      <w:r>
        <w:rPr>
          <w:rFonts w:ascii="Calibri" w:cs="Calibri" w:eastAsia="Calibri" w:hAnsi="Calibri"/>
          <w:sz w:val="22"/>
          <w:szCs w:val="22"/>
        </w:rPr>
        <w:t xml:space="preserve"> Moving walls, drains, and equipment connections is where "turnkey" becomes a renovation.</w:t>
      </w:r>
    </w:p>
    <w:p>
      <w:pPr>
        <w:pStyle w:val="ListParagraph"/>
        <w:numPr>
          <w:ilvl w:val="0"/>
          <w:numId w:val="2"/>
        </w:numPr>
        <w:spacing w:after="80" w:line="280"/>
      </w:pPr>
      <w:r>
        <w:rPr>
          <w:rFonts w:ascii="Calibri" w:cs="Calibri" w:eastAsia="Calibri" w:hAnsi="Calibri"/>
          <w:b/>
          <w:bCs/>
          <w:sz w:val="22"/>
          <w:szCs w:val="22"/>
        </w:rPr>
        <w:t xml:space="preserve">Undocumented alterations.</w:t>
      </w:r>
      <w:r>
        <w:rPr>
          <w:rFonts w:ascii="Calibri" w:cs="Calibri" w:eastAsia="Calibri" w:hAnsi="Calibri"/>
          <w:sz w:val="22"/>
          <w:szCs w:val="22"/>
        </w:rPr>
        <w:t xml:space="preserve"> Without reliable as-builts, the team is guessing about what is behind the walls and above the ceiling.</w:t>
      </w:r>
    </w:p>
    <w:p>
      <w:pPr>
        <w:pStyle w:val="Heading2"/>
        <w:spacing w:after="140" w:before="320"/>
      </w:pPr>
      <w:r>
        <w:t xml:space="preserve">System-by-System Reuse Check</w:t>
      </w:r>
    </w:p>
    <w:p>
      <w:pPr>
        <w:spacing w:after="160" w:line="300"/>
      </w:pPr>
      <w:r>
        <w:rPr>
          <w:rFonts w:ascii="Calibri" w:cs="Calibri" w:eastAsia="Calibri" w:hAnsi="Calibri"/>
          <w:sz w:val="22"/>
          <w:szCs w:val="22"/>
        </w:rPr>
        <w:t xml:space="preserve">For each system, the goal is the same: find out what exists, get evidence rather than assurances, and know who can confirm it. The table below is the working version of that check.</w:t>
      </w:r>
    </w:p>
    <w:p>
      <w:pPr>
        <w:spacing w:after="80" w:before="120"/>
      </w:pPr>
      <w:r>
        <w:rPr>
          <w:rFonts w:ascii="Calibri" w:cs="Calibri" w:eastAsia="Calibri" w:hAnsi="Calibri"/>
          <w:i/>
          <w:iCs/>
          <w:color w:val="5A6573"/>
          <w:sz w:val="20"/>
          <w:szCs w:val="20"/>
        </w:rPr>
        <w:t xml:space="preserve">Reuse checklist: what to confirm before counting on inherited systems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tcBorders>
              <w:top w:val="single" w:color="C9D1DC" w:sz="4"/>
              <w:left w:val="single" w:color="C9D1DC" w:sz="4"/>
              <w:bottom w:val="single" w:color="C9D1DC" w:sz="4"/>
              <w:right w:val="single" w:color="C9D1DC" w:sz="4"/>
            </w:tcBorders>
            <w:shd w:fill="1E3A5F" w:color="auto" w:val="clear"/>
            <w:tcMar>
              <w:top w:type="dxa" w:w="70"/>
              <w:left w:type="dxa" w:w="100"/>
              <w:bottom w:type="dxa" w:w="70"/>
              <w:right w:type="dxa" w:w="100"/>
            </w:tcMar>
          </w:tcPr>
          <w:p>
            <w:r>
              <w:rPr>
                <w:rFonts w:ascii="Calibri" w:cs="Calibri" w:eastAsia="Calibri" w:hAnsi="Calibri"/>
                <w:b/>
                <w:bCs/>
                <w:color w:val="FFFFFF"/>
                <w:sz w:val="19"/>
                <w:szCs w:val="19"/>
              </w:rPr>
              <w:t xml:space="preserve">System</w:t>
            </w:r>
          </w:p>
        </w:tc>
        <w:tc>
          <w:tcPr>
            <w:tcW w:type="dxa" w:w="1872"/>
            <w:tcBorders>
              <w:top w:val="single" w:color="C9D1DC" w:sz="4"/>
              <w:left w:val="single" w:color="C9D1DC" w:sz="4"/>
              <w:bottom w:val="single" w:color="C9D1DC" w:sz="4"/>
              <w:right w:val="single" w:color="C9D1DC" w:sz="4"/>
            </w:tcBorders>
            <w:shd w:fill="1E3A5F" w:color="auto" w:val="clear"/>
            <w:tcMar>
              <w:top w:type="dxa" w:w="70"/>
              <w:left w:type="dxa" w:w="100"/>
              <w:bottom w:type="dxa" w:w="70"/>
              <w:right w:type="dxa" w:w="100"/>
            </w:tcMar>
          </w:tcPr>
          <w:p>
            <w:r>
              <w:rPr>
                <w:rFonts w:ascii="Calibri" w:cs="Calibri" w:eastAsia="Calibri" w:hAnsi="Calibri"/>
                <w:b/>
                <w:bCs/>
                <w:color w:val="FFFFFF"/>
                <w:sz w:val="19"/>
                <w:szCs w:val="19"/>
              </w:rPr>
              <w:t xml:space="preserve">What to verify</w:t>
            </w:r>
          </w:p>
        </w:tc>
        <w:tc>
          <w:tcPr>
            <w:tcW w:type="dxa" w:w="1872"/>
            <w:tcBorders>
              <w:top w:val="single" w:color="C9D1DC" w:sz="4"/>
              <w:left w:val="single" w:color="C9D1DC" w:sz="4"/>
              <w:bottom w:val="single" w:color="C9D1DC" w:sz="4"/>
              <w:right w:val="single" w:color="C9D1DC" w:sz="4"/>
            </w:tcBorders>
            <w:shd w:fill="1E3A5F" w:color="auto" w:val="clear"/>
            <w:tcMar>
              <w:top w:type="dxa" w:w="70"/>
              <w:left w:type="dxa" w:w="100"/>
              <w:bottom w:type="dxa" w:w="70"/>
              <w:right w:type="dxa" w:w="100"/>
            </w:tcMar>
          </w:tcPr>
          <w:p>
            <w:r>
              <w:rPr>
                <w:rFonts w:ascii="Calibri" w:cs="Calibri" w:eastAsia="Calibri" w:hAnsi="Calibri"/>
                <w:b/>
                <w:bCs/>
                <w:color w:val="FFFFFF"/>
                <w:sz w:val="19"/>
                <w:szCs w:val="19"/>
              </w:rPr>
              <w:t xml:space="preserve">Evidence to request</w:t>
            </w:r>
          </w:p>
        </w:tc>
        <w:tc>
          <w:tcPr>
            <w:tcW w:type="dxa" w:w="1872"/>
            <w:tcBorders>
              <w:top w:val="single" w:color="C9D1DC" w:sz="4"/>
              <w:left w:val="single" w:color="C9D1DC" w:sz="4"/>
              <w:bottom w:val="single" w:color="C9D1DC" w:sz="4"/>
              <w:right w:val="single" w:color="C9D1DC" w:sz="4"/>
            </w:tcBorders>
            <w:shd w:fill="1E3A5F" w:color="auto" w:val="clear"/>
            <w:tcMar>
              <w:top w:type="dxa" w:w="70"/>
              <w:left w:type="dxa" w:w="100"/>
              <w:bottom w:type="dxa" w:w="70"/>
              <w:right w:type="dxa" w:w="100"/>
            </w:tcMar>
          </w:tcPr>
          <w:p>
            <w:r>
              <w:rPr>
                <w:rFonts w:ascii="Calibri" w:cs="Calibri" w:eastAsia="Calibri" w:hAnsi="Calibri"/>
                <w:b/>
                <w:bCs/>
                <w:color w:val="FFFFFF"/>
                <w:sz w:val="19"/>
                <w:szCs w:val="19"/>
              </w:rPr>
              <w:t xml:space="preserve">Who to ask</w:t>
            </w:r>
          </w:p>
        </w:tc>
        <w:tc>
          <w:tcPr>
            <w:tcW w:type="dxa" w:w="1872"/>
            <w:tcBorders>
              <w:top w:val="single" w:color="C9D1DC" w:sz="4"/>
              <w:left w:val="single" w:color="C9D1DC" w:sz="4"/>
              <w:bottom w:val="single" w:color="C9D1DC" w:sz="4"/>
              <w:right w:val="single" w:color="C9D1DC" w:sz="4"/>
            </w:tcBorders>
            <w:shd w:fill="1E3A5F" w:color="auto" w:val="clear"/>
            <w:tcMar>
              <w:top w:type="dxa" w:w="70"/>
              <w:left w:type="dxa" w:w="100"/>
              <w:bottom w:type="dxa" w:w="70"/>
              <w:right w:type="dxa" w:w="100"/>
            </w:tcMar>
          </w:tcPr>
          <w:p>
            <w:r>
              <w:rPr>
                <w:rFonts w:ascii="Calibri" w:cs="Calibri" w:eastAsia="Calibri" w:hAnsi="Calibri"/>
                <w:b/>
                <w:bCs/>
                <w:color w:val="FFFFFF"/>
                <w:sz w:val="19"/>
                <w:szCs w:val="19"/>
              </w:rPr>
              <w:t xml:space="preserve">Red flag</w:t>
            </w:r>
          </w:p>
        </w:tc>
      </w:tr>
      <w:tr>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Hood, exhaust, makeup air</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Hood type and length fit your line; exhaust path and makeup air are adequate</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Equipment schedule, prior mechanical permit, hood inspection and cleaning records</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Landlord, previous tenant, mechanical engineer</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No records, or your line is longer or hotter than the old one</w:t>
            </w:r>
          </w:p>
        </w:tc>
      </w:tr>
      <w:tr>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Grease interceptor</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Size, location, whether shared, current condition</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Plumbing permit, pumping and inspection records</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Landlord, local utility or pretreatment office</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Shared with other tenants or no service history</w:t>
            </w:r>
          </w:p>
        </w:tc>
      </w:tr>
      <w:tr>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Restrooms</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Fixture count and accessibility against current expectations</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Prior permit drawings, recent inspection notes</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Jurisdiction, architect</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Tight clearances, steps, or narrow doors</w:t>
            </w:r>
          </w:p>
        </w:tc>
      </w:tr>
      <w:tr>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Electrical</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Service size and panel capacity for your equipment</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Panel schedule, utility service records</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Electrician, utility, engineer</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Panel at capacity or visibly altered</w:t>
            </w:r>
          </w:p>
        </w:tc>
      </w:tr>
      <w:tr>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Gas</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Meter and line capacity for your equipment load</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Utility records, gas piping drawings</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Gas utility, plumber, engineer</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Meter removed or service disconnected</w:t>
            </w:r>
          </w:p>
        </w:tc>
      </w:tr>
      <w:tr>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Plumbing and floor drains</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Drain locations match your kitchen layout</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As-builts, plumbing permit</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Plumber, architect</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Drains in the wrong places for your line</w:t>
            </w:r>
          </w:p>
        </w:tc>
      </w:tr>
      <w:tr>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Fire suppression</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Hood suppression and any sprinkler system condition</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Service tags, inspection reports</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Fire protection contractor, fire marshal</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Expired tags or system removed</w:t>
            </w:r>
          </w:p>
        </w:tc>
      </w:tr>
      <w:tr>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Roof and shaft access</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Structural support and routing for exhaust and rooftop units</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Structural drawings, roof warranty</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Landlord, structural engineer</w:t>
            </w:r>
          </w:p>
        </w:tc>
        <w:tc>
          <w:tcPr>
            <w:tcW w:type="dxa" w:w="1872"/>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No clear path or roof warranty restrictions</w:t>
            </w:r>
          </w:p>
        </w:tc>
      </w:tr>
    </w:tbl>
    <w:p>
      <w:pPr>
        <w:spacing w:after="120"/>
      </w:pPr>
    </w:p>
    <w:p>
      <w:pPr>
        <w:pStyle w:val="Heading2"/>
        <w:spacing w:after="140" w:before="320"/>
      </w:pPr>
      <w:r>
        <w:t xml:space="preserve">Site-Walk Checklist</w:t>
      </w:r>
    </w:p>
    <w:p>
      <w:pPr>
        <w:spacing w:after="160" w:line="300"/>
      </w:pPr>
      <w:r>
        <w:rPr>
          <w:rFonts w:ascii="Calibri" w:cs="Calibri" w:eastAsia="Calibri" w:hAnsi="Calibri"/>
          <w:sz w:val="22"/>
          <w:szCs w:val="22"/>
        </w:rPr>
        <w:t xml:space="preserve">Bring this to the first walkthrough, ideally with your architect or an engineer. It will not replace a proper review, but it will quickly tell you whether the space deserves one.</w:t>
      </w:r>
    </w:p>
    <w:p>
      <w:pPr>
        <w:pStyle w:val="ListParagraph"/>
        <w:numPr>
          <w:ilvl w:val="0"/>
          <w:numId w:val="3"/>
        </w:numPr>
        <w:spacing w:after="80" w:line="280"/>
      </w:pPr>
      <w:r>
        <w:rPr>
          <w:rFonts w:ascii="Calibri" w:cs="Calibri" w:eastAsia="Calibri" w:hAnsi="Calibri"/>
          <w:sz w:val="22"/>
          <w:szCs w:val="22"/>
        </w:rPr>
        <w:t xml:space="preserve">Photograph the hood, including the label plate if visible, and the roof penetration.</w:t>
      </w:r>
    </w:p>
    <w:p>
      <w:pPr>
        <w:pStyle w:val="ListParagraph"/>
        <w:numPr>
          <w:ilvl w:val="0"/>
          <w:numId w:val="3"/>
        </w:numPr>
        <w:spacing w:after="80" w:line="280"/>
      </w:pPr>
      <w:r>
        <w:rPr>
          <w:rFonts w:ascii="Calibri" w:cs="Calibri" w:eastAsia="Calibri" w:hAnsi="Calibri"/>
          <w:sz w:val="22"/>
          <w:szCs w:val="22"/>
        </w:rPr>
        <w:t xml:space="preserve">Locate the grease interceptor and ask whether it serves only this space.</w:t>
      </w:r>
    </w:p>
    <w:p>
      <w:pPr>
        <w:pStyle w:val="ListParagraph"/>
        <w:numPr>
          <w:ilvl w:val="0"/>
          <w:numId w:val="3"/>
        </w:numPr>
        <w:spacing w:after="80" w:line="280"/>
      </w:pPr>
      <w:r>
        <w:rPr>
          <w:rFonts w:ascii="Calibri" w:cs="Calibri" w:eastAsia="Calibri" w:hAnsi="Calibri"/>
          <w:sz w:val="22"/>
          <w:szCs w:val="22"/>
        </w:rPr>
        <w:t xml:space="preserve">Photograph the electrical panel and its labeling.</w:t>
      </w:r>
    </w:p>
    <w:p>
      <w:pPr>
        <w:pStyle w:val="ListParagraph"/>
        <w:numPr>
          <w:ilvl w:val="0"/>
          <w:numId w:val="3"/>
        </w:numPr>
        <w:spacing w:after="80" w:line="280"/>
      </w:pPr>
      <w:r>
        <w:rPr>
          <w:rFonts w:ascii="Calibri" w:cs="Calibri" w:eastAsia="Calibri" w:hAnsi="Calibri"/>
          <w:sz w:val="22"/>
          <w:szCs w:val="22"/>
        </w:rPr>
        <w:t xml:space="preserve">Note the gas meter location and whether service is active.</w:t>
      </w:r>
    </w:p>
    <w:p>
      <w:pPr>
        <w:pStyle w:val="ListParagraph"/>
        <w:numPr>
          <w:ilvl w:val="0"/>
          <w:numId w:val="3"/>
        </w:numPr>
        <w:spacing w:after="80" w:line="280"/>
      </w:pPr>
      <w:r>
        <w:rPr>
          <w:rFonts w:ascii="Calibri" w:cs="Calibri" w:eastAsia="Calibri" w:hAnsi="Calibri"/>
          <w:sz w:val="22"/>
          <w:szCs w:val="22"/>
        </w:rPr>
        <w:t xml:space="preserve">Walk the accessible route from parking to entrance to restrooms.</w:t>
      </w:r>
    </w:p>
    <w:p>
      <w:pPr>
        <w:pStyle w:val="ListParagraph"/>
        <w:numPr>
          <w:ilvl w:val="0"/>
          <w:numId w:val="3"/>
        </w:numPr>
        <w:spacing w:after="80" w:line="280"/>
      </w:pPr>
      <w:r>
        <w:rPr>
          <w:rFonts w:ascii="Calibri" w:cs="Calibri" w:eastAsia="Calibri" w:hAnsi="Calibri"/>
          <w:sz w:val="22"/>
          <w:szCs w:val="22"/>
        </w:rPr>
        <w:t xml:space="preserve">Mark floor drains, floor sinks, and any trenches on a sketch.</w:t>
      </w:r>
    </w:p>
    <w:p>
      <w:pPr>
        <w:pStyle w:val="ListParagraph"/>
        <w:numPr>
          <w:ilvl w:val="0"/>
          <w:numId w:val="3"/>
        </w:numPr>
        <w:spacing w:after="80" w:line="280"/>
      </w:pPr>
      <w:r>
        <w:rPr>
          <w:rFonts w:ascii="Calibri" w:cs="Calibri" w:eastAsia="Calibri" w:hAnsi="Calibri"/>
          <w:sz w:val="22"/>
          <w:szCs w:val="22"/>
        </w:rPr>
        <w:t xml:space="preserve">Ask for as-builts, prior permits, equipment schedules, and inspection records in writing.</w:t>
      </w:r>
    </w:p>
    <w:p>
      <w:pPr>
        <w:pStyle w:val="ListParagraph"/>
        <w:numPr>
          <w:ilvl w:val="0"/>
          <w:numId w:val="3"/>
        </w:numPr>
        <w:spacing w:after="80" w:line="280"/>
      </w:pPr>
      <w:r>
        <w:rPr>
          <w:rFonts w:ascii="Calibri" w:cs="Calibri" w:eastAsia="Calibri" w:hAnsi="Calibri"/>
          <w:sz w:val="22"/>
          <w:szCs w:val="22"/>
        </w:rPr>
        <w:t xml:space="preserve">Ask how long the space has been vacant and whether equipment was removed.</w:t>
      </w:r>
    </w:p>
    <w:p>
      <w:pPr>
        <w:spacing w:after="160" w:line="300"/>
      </w:pPr>
      <w:r>
        <w:rPr>
          <w:rFonts w:ascii="Calibri" w:cs="Calibri" w:eastAsia="Calibri" w:hAnsi="Calibri"/>
          <w:sz w:val="22"/>
          <w:szCs w:val="22"/>
        </w:rPr>
        <w:t xml:space="preserve">For the broader site decision, including factors unrelated to inherited systems, use our go/no-go site checklist. This list focuses only on what the previous restaurant left behind.</w:t>
      </w:r>
    </w:p>
    <w:p>
      <w:pPr>
        <w:pStyle w:val="Heading3"/>
        <w:spacing w:after="100" w:before="220"/>
      </w:pPr>
      <w:r>
        <w:t xml:space="preserve">Questions to Ask the Landlord Before the LOI</w:t>
      </w:r>
    </w:p>
    <w:p>
      <w:pPr>
        <w:pStyle w:val="ListParagraph"/>
        <w:numPr>
          <w:ilvl w:val="0"/>
          <w:numId w:val="4"/>
        </w:numPr>
        <w:spacing w:after="80" w:line="280"/>
      </w:pPr>
      <w:r>
        <w:rPr>
          <w:rFonts w:ascii="Calibri" w:cs="Calibri" w:eastAsia="Calibri" w:hAnsi="Calibri"/>
          <w:sz w:val="22"/>
          <w:szCs w:val="22"/>
        </w:rPr>
        <w:t xml:space="preserve">Which systems and equipment will be delivered, and in what condition?</w:t>
      </w:r>
    </w:p>
    <w:p>
      <w:pPr>
        <w:pStyle w:val="ListParagraph"/>
        <w:numPr>
          <w:ilvl w:val="0"/>
          <w:numId w:val="4"/>
        </w:numPr>
        <w:spacing w:after="80" w:line="280"/>
      </w:pPr>
      <w:r>
        <w:rPr>
          <w:rFonts w:ascii="Calibri" w:cs="Calibri" w:eastAsia="Calibri" w:hAnsi="Calibri"/>
          <w:sz w:val="22"/>
          <w:szCs w:val="22"/>
        </w:rPr>
        <w:t xml:space="preserve">Are as-builts and prior permit drawings available, and when were they last updated?</w:t>
      </w:r>
    </w:p>
    <w:p>
      <w:pPr>
        <w:pStyle w:val="ListParagraph"/>
        <w:numPr>
          <w:ilvl w:val="0"/>
          <w:numId w:val="4"/>
        </w:numPr>
        <w:spacing w:after="80" w:line="280"/>
      </w:pPr>
      <w:r>
        <w:rPr>
          <w:rFonts w:ascii="Calibri" w:cs="Calibri" w:eastAsia="Calibri" w:hAnsi="Calibri"/>
          <w:sz w:val="22"/>
          <w:szCs w:val="22"/>
        </w:rPr>
        <w:t xml:space="preserve">Is the grease interceptor shared, and who maintains it?</w:t>
      </w:r>
    </w:p>
    <w:p>
      <w:pPr>
        <w:pStyle w:val="ListParagraph"/>
        <w:numPr>
          <w:ilvl w:val="0"/>
          <w:numId w:val="4"/>
        </w:numPr>
        <w:spacing w:after="80" w:line="280"/>
      </w:pPr>
      <w:r>
        <w:rPr>
          <w:rFonts w:ascii="Calibri" w:cs="Calibri" w:eastAsia="Calibri" w:hAnsi="Calibri"/>
          <w:sz w:val="22"/>
          <w:szCs w:val="22"/>
        </w:rPr>
        <w:t xml:space="preserve">Were any alterations made without permits?</w:t>
      </w:r>
    </w:p>
    <w:p>
      <w:pPr>
        <w:pStyle w:val="ListParagraph"/>
        <w:numPr>
          <w:ilvl w:val="0"/>
          <w:numId w:val="4"/>
        </w:numPr>
        <w:spacing w:after="80" w:line="280"/>
      </w:pPr>
      <w:r>
        <w:rPr>
          <w:rFonts w:ascii="Calibri" w:cs="Calibri" w:eastAsia="Calibri" w:hAnsi="Calibri"/>
          <w:sz w:val="22"/>
          <w:szCs w:val="22"/>
        </w:rPr>
        <w:t xml:space="preserve">Will the landlord contribute to upgrades if inherited systems do not meet the new concept's needs?</w:t>
      </w:r>
    </w:p>
    <w:p>
      <w:pPr>
        <w:spacing w:after="160" w:line="300"/>
      </w:pPr>
      <w:r>
        <w:rPr>
          <w:rFonts w:ascii="Calibri" w:cs="Calibri" w:eastAsia="Calibri" w:hAnsi="Calibri"/>
          <w:sz w:val="22"/>
          <w:szCs w:val="22"/>
        </w:rPr>
        <w:t xml:space="preserve">Written answers to these questions give you a basis for negotiating allowances or delivery condition before you lose leverage. Our article on pre-lease mistakes covers more of what to lock down before signing.</w:t>
      </w:r>
    </w:p>
    <w:p>
      <w:pPr>
        <w:pStyle w:val="Heading2"/>
        <w:spacing w:after="140" w:before="320"/>
      </w:pPr>
      <w:r>
        <w:t xml:space="preserve">The Code-Trigger Question to Confirm Locally</w:t>
      </w:r>
    </w:p>
    <w:p>
      <w:pPr>
        <w:spacing w:after="160" w:line="300"/>
      </w:pPr>
      <w:r>
        <w:rPr>
          <w:rFonts w:ascii="Calibri" w:cs="Calibri" w:eastAsia="Calibri" w:hAnsi="Calibri"/>
          <w:sz w:val="22"/>
          <w:szCs w:val="22"/>
        </w:rPr>
        <w:t xml:space="preserve">In many jurisdictions, a change of tenant, a change in scope of work, or a renovation above a certain extent can trigger requirements to bring parts of the space up to current code. How and when that happens varies, and it is not something to assume either way.</w:t>
      </w:r>
    </w:p>
    <w:p>
      <w:pPr>
        <w:spacing w:after="160" w:line="300"/>
      </w:pPr>
      <w:r>
        <w:rPr>
          <w:rFonts w:ascii="Calibri" w:cs="Calibri" w:eastAsia="Calibri" w:hAnsi="Calibri"/>
          <w:sz w:val="22"/>
          <w:szCs w:val="22"/>
        </w:rPr>
        <w:t xml:space="preserve">Treat it as a question to put to the authority having jurisdiction early, ideally before the lease is signed: given the proposed scope for this concept, what upgrades would the jurisdiction expect? The answer can change the math on a space dramatically, especially for accessibility, fire protection, and restrooms.</w:t>
      </w:r>
    </w:p>
    <w:p>
      <w:pPr>
        <w:pStyle w:val="Heading2"/>
        <w:spacing w:after="140" w:before="320"/>
      </w:pPr>
      <w:r>
        <w:t xml:space="preserve">A Reuse, Modify, or Gut Decision Framework</w:t>
      </w:r>
    </w:p>
    <w:p>
      <w:pPr>
        <w:spacing w:after="160" w:line="300"/>
      </w:pPr>
      <w:r>
        <w:rPr>
          <w:rFonts w:ascii="Calibri" w:cs="Calibri" w:eastAsia="Calibri" w:hAnsi="Calibri"/>
          <w:sz w:val="22"/>
          <w:szCs w:val="22"/>
        </w:rPr>
        <w:t xml:space="preserve">Once the systems are verified, each one lands in one of three categories, and the overall space follows from the pattern:</w:t>
      </w:r>
    </w:p>
    <w:p>
      <w:pPr>
        <w:pStyle w:val="ListParagraph"/>
        <w:numPr>
          <w:ilvl w:val="0"/>
          <w:numId w:val="5"/>
        </w:numPr>
        <w:spacing w:after="80" w:line="280"/>
      </w:pPr>
      <w:r>
        <w:rPr>
          <w:rFonts w:ascii="Calibri" w:cs="Calibri" w:eastAsia="Calibri" w:hAnsi="Calibri"/>
          <w:b/>
          <w:bCs/>
          <w:sz w:val="22"/>
          <w:szCs w:val="22"/>
        </w:rPr>
        <w:t xml:space="preserve">Reuse:</w:t>
      </w:r>
      <w:r>
        <w:rPr>
          <w:rFonts w:ascii="Calibri" w:cs="Calibri" w:eastAsia="Calibri" w:hAnsi="Calibri"/>
          <w:sz w:val="22"/>
          <w:szCs w:val="22"/>
        </w:rPr>
        <w:t xml:space="preserve"> the system is documented, in good condition, fits your equipment, and fits your brand's kitchen logic without forcing workflow compromises.</w:t>
      </w:r>
    </w:p>
    <w:p>
      <w:pPr>
        <w:pStyle w:val="ListParagraph"/>
        <w:numPr>
          <w:ilvl w:val="0"/>
          <w:numId w:val="5"/>
        </w:numPr>
        <w:spacing w:after="80" w:line="280"/>
      </w:pPr>
      <w:r>
        <w:rPr>
          <w:rFonts w:ascii="Calibri" w:cs="Calibri" w:eastAsia="Calibri" w:hAnsi="Calibri"/>
          <w:b/>
          <w:bCs/>
          <w:sz w:val="22"/>
          <w:szCs w:val="22"/>
        </w:rPr>
        <w:t xml:space="preserve">Modify:</w:t>
      </w:r>
      <w:r>
        <w:rPr>
          <w:rFonts w:ascii="Calibri" w:cs="Calibri" w:eastAsia="Calibri" w:hAnsi="Calibri"/>
          <w:sz w:val="22"/>
          <w:szCs w:val="22"/>
        </w:rPr>
        <w:t xml:space="preserve"> the system is sound but needs extension, resizing, or relocation. Price the modification and include it in the pro forma before you sign.</w:t>
      </w:r>
    </w:p>
    <w:p>
      <w:pPr>
        <w:pStyle w:val="ListParagraph"/>
        <w:numPr>
          <w:ilvl w:val="0"/>
          <w:numId w:val="5"/>
        </w:numPr>
        <w:spacing w:after="80" w:line="280"/>
      </w:pPr>
      <w:r>
        <w:rPr>
          <w:rFonts w:ascii="Calibri" w:cs="Calibri" w:eastAsia="Calibri" w:hAnsi="Calibri"/>
          <w:b/>
          <w:bCs/>
          <w:sz w:val="22"/>
          <w:szCs w:val="22"/>
        </w:rPr>
        <w:t xml:space="preserve">Gut:</w:t>
      </w:r>
      <w:r>
        <w:rPr>
          <w:rFonts w:ascii="Calibri" w:cs="Calibri" w:eastAsia="Calibri" w:hAnsi="Calibri"/>
          <w:sz w:val="22"/>
          <w:szCs w:val="22"/>
        </w:rPr>
        <w:t xml:space="preserve"> the system does not fit, is undocumented, or would lock your team into the previous tenant's workflow. Budget and schedule as if it were first-generation space.</w:t>
      </w:r>
    </w:p>
    <w:p>
      <w:pPr>
        <w:spacing w:after="160" w:line="300"/>
      </w:pPr>
      <w:r>
        <w:rPr>
          <w:rFonts w:ascii="Calibri" w:cs="Calibri" w:eastAsia="Calibri" w:hAnsi="Calibri"/>
          <w:sz w:val="22"/>
          <w:szCs w:val="22"/>
        </w:rPr>
        <w:t xml:space="preserve">The most important test is </w:t>
      </w:r>
      <w:r>
        <w:rPr>
          <w:rFonts w:ascii="Calibri" w:cs="Calibri" w:eastAsia="Calibri" w:hAnsi="Calibri"/>
          <w:b/>
          <w:bCs/>
          <w:sz w:val="22"/>
          <w:szCs w:val="22"/>
        </w:rPr>
        <w:t xml:space="preserve">workflow fit</w:t>
      </w:r>
      <w:r>
        <w:rPr>
          <w:rFonts w:ascii="Calibri" w:cs="Calibri" w:eastAsia="Calibri" w:hAnsi="Calibri"/>
          <w:sz w:val="22"/>
          <w:szCs w:val="22"/>
        </w:rPr>
        <w:t xml:space="preserve">. A hood in the wrong place can technically be reused, but if it forces your line to run backward from how the prototype works, you pay for that every day in speed of service and training. The brand's kitchen logic should win over the convenience of existing equipment.</w:t>
      </w:r>
    </w:p>
    <w:p>
      <w:pPr>
        <w:pStyle w:val="Heading3"/>
        <w:spacing w:after="100" w:before="220"/>
      </w:pPr>
      <w:r>
        <w:t xml:space="preserve">How Brand2Builds Helps</w:t>
      </w:r>
    </w:p>
    <w:p>
      <w:pPr>
        <w:spacing w:after="160" w:line="300"/>
      </w:pPr>
      <w:r>
        <w:rPr>
          <w:rFonts w:ascii="Calibri" w:cs="Calibri" w:eastAsia="Calibri" w:hAnsi="Calibri"/>
          <w:sz w:val="22"/>
          <w:szCs w:val="22"/>
        </w:rPr>
        <w:t xml:space="preserve">Brand2Builds can review as-builts and existing site conditions against your prototype before a lease is signed, so the reuse, modify, or gut call is based on evidence rather than a listing description. The scope of each feasibility review is confirmed with your team up front.</w:t>
      </w:r>
    </w:p>
    <w:p>
      <w:pPr>
        <w:pStyle w:val="Heading2"/>
        <w:spacing w:after="140" w:before="320"/>
      </w:pPr>
      <w:r>
        <w:t xml:space="preserve">Two Illustrative Scenarios</w:t>
      </w:r>
    </w:p>
    <w:p>
      <w:pPr>
        <w:pStyle w:val="Heading3"/>
        <w:spacing w:after="100" w:before="220"/>
      </w:pPr>
      <w:r>
        <w:t xml:space="preserve">Former pizzeria to fast-casual bowl concept</w:t>
      </w:r>
    </w:p>
    <w:p>
      <w:pPr>
        <w:spacing w:after="160" w:line="300"/>
      </w:pPr>
      <w:r>
        <w:rPr>
          <w:rFonts w:ascii="Calibri" w:cs="Calibri" w:eastAsia="Calibri" w:hAnsi="Calibri"/>
          <w:sz w:val="22"/>
          <w:szCs w:val="22"/>
        </w:rPr>
        <w:t xml:space="preserve">The space has a hood, a grease interceptor, and gas service. On paper it looks turnkey. On review, the pizzeria's equipment was centered on an oven, while the bowl concept runs a longer line with different cooking equipment. The existing hood is likely too short, its location breaks the prototype's service flow, and the electrical panel was sized for a different equipment mix. The likely call is </w:t>
      </w:r>
      <w:r>
        <w:rPr>
          <w:rFonts w:ascii="Calibri" w:cs="Calibri" w:eastAsia="Calibri" w:hAnsi="Calibri"/>
          <w:b/>
          <w:bCs/>
          <w:sz w:val="22"/>
          <w:szCs w:val="22"/>
        </w:rPr>
        <w:t xml:space="preserve">modify or gut</w:t>
      </w:r>
      <w:r>
        <w:rPr>
          <w:rFonts w:ascii="Calibri" w:cs="Calibri" w:eastAsia="Calibri" w:hAnsi="Calibri"/>
          <w:sz w:val="22"/>
          <w:szCs w:val="22"/>
        </w:rPr>
        <w:t xml:space="preserve">, with the interceptor possibly reusable after verification.</w:t>
      </w:r>
    </w:p>
    <w:p>
      <w:pPr>
        <w:pStyle w:val="Heading3"/>
        <w:spacing w:after="100" w:before="220"/>
      </w:pPr>
      <w:r>
        <w:t xml:space="preserve">Former sit-down restaurant to coffee QSR</w:t>
      </w:r>
    </w:p>
    <w:p>
      <w:pPr>
        <w:spacing w:after="160" w:line="300"/>
      </w:pPr>
      <w:r>
        <w:rPr>
          <w:rFonts w:ascii="Calibri" w:cs="Calibri" w:eastAsia="Calibri" w:hAnsi="Calibri"/>
          <w:sz w:val="22"/>
          <w:szCs w:val="22"/>
        </w:rPr>
        <w:t xml:space="preserve">Here the new concept needs far less cooking capacity than the old one. The large hood may not be needed at all, but the dining room and restrooms are generous and the plumbing and electrical service may be more than adequate. The challenge is the opposite of the first case: the layout was built for table service, and the coffee concept needs a fast queue and pickup zone near the entrance. The likely call is </w:t>
      </w:r>
      <w:r>
        <w:rPr>
          <w:rFonts w:ascii="Calibri" w:cs="Calibri" w:eastAsia="Calibri" w:hAnsi="Calibri"/>
          <w:b/>
          <w:bCs/>
          <w:sz w:val="22"/>
          <w:szCs w:val="22"/>
        </w:rPr>
        <w:t xml:space="preserve">reuse</w:t>
      </w:r>
      <w:r>
        <w:rPr>
          <w:rFonts w:ascii="Calibri" w:cs="Calibri" w:eastAsia="Calibri" w:hAnsi="Calibri"/>
          <w:sz w:val="22"/>
          <w:szCs w:val="22"/>
        </w:rPr>
        <w:t xml:space="preserve"> utilities and restrooms if verified, and </w:t>
      </w:r>
      <w:r>
        <w:rPr>
          <w:rFonts w:ascii="Calibri" w:cs="Calibri" w:eastAsia="Calibri" w:hAnsi="Calibri"/>
          <w:b/>
          <w:bCs/>
          <w:sz w:val="22"/>
          <w:szCs w:val="22"/>
        </w:rPr>
        <w:t xml:space="preserve">modify</w:t>
      </w:r>
      <w:r>
        <w:rPr>
          <w:rFonts w:ascii="Calibri" w:cs="Calibri" w:eastAsia="Calibri" w:hAnsi="Calibri"/>
          <w:sz w:val="22"/>
          <w:szCs w:val="22"/>
        </w:rPr>
        <w:t xml:space="preserve"> the front of house.</w:t>
      </w:r>
    </w:p>
    <w:p>
      <w:pPr>
        <w:pStyle w:val="Heading2"/>
        <w:spacing w:after="140" w:before="320"/>
      </w:pPr>
      <w:r>
        <w:t xml:space="preserve">Frequently Asked Questions</w:t>
      </w:r>
    </w:p>
    <w:p>
      <w:pPr>
        <w:pStyle w:val="Heading3"/>
        <w:spacing w:after="100" w:before="220"/>
      </w:pPr>
      <w:r>
        <w:t xml:space="preserve">Is second-generation restaurant space cheaper to build out?</w:t>
      </w:r>
    </w:p>
    <w:p>
      <w:pPr>
        <w:spacing w:after="160" w:line="300"/>
      </w:pPr>
      <w:r>
        <w:rPr>
          <w:rFonts w:ascii="Calibri" w:cs="Calibri" w:eastAsia="Calibri" w:hAnsi="Calibri"/>
          <w:sz w:val="22"/>
          <w:szCs w:val="22"/>
        </w:rPr>
        <w:t xml:space="preserve">It can be, but it depends on verified conditions and how closely the previous concept matches yours. When systems are documented, in good condition, and fit your equipment and workflow, reuse can reduce scope. When they do not, modification and upgrade work can erase the savings.</w:t>
      </w:r>
    </w:p>
    <w:p>
      <w:pPr>
        <w:pStyle w:val="Heading3"/>
        <w:spacing w:after="100" w:before="220"/>
      </w:pPr>
      <w:r>
        <w:t xml:space="preserve">Can I reuse the previous tenant's hood and grease trap?</w:t>
      </w:r>
    </w:p>
    <w:p>
      <w:pPr>
        <w:spacing w:after="160" w:line="300"/>
      </w:pPr>
      <w:r>
        <w:rPr>
          <w:rFonts w:ascii="Calibri" w:cs="Calibri" w:eastAsia="Calibri" w:hAnsi="Calibri"/>
          <w:sz w:val="22"/>
          <w:szCs w:val="22"/>
        </w:rPr>
        <w:t xml:space="preserve">Possibly. Start by confirming the hood type, size, and condition against your equipment schedule, and check the interceptor's size, service history, and whether it is shared. Acceptance ultimately depends on your new equipment and on local review, so involve your architect, engineer, and the jurisdiction early.</w:t>
      </w:r>
    </w:p>
    <w:p>
      <w:pPr>
        <w:pStyle w:val="Heading3"/>
        <w:spacing w:after="100" w:before="220"/>
      </w:pPr>
      <w:r>
        <w:t xml:space="preserve">What should be inspected before signing a lease on a second-generation space?</w:t>
      </w:r>
    </w:p>
    <w:p>
      <w:pPr>
        <w:spacing w:after="160" w:line="300"/>
      </w:pPr>
      <w:r>
        <w:rPr>
          <w:rFonts w:ascii="Calibri" w:cs="Calibri" w:eastAsia="Calibri" w:hAnsi="Calibri"/>
          <w:sz w:val="22"/>
          <w:szCs w:val="22"/>
        </w:rPr>
        <w:t xml:space="preserve">At minimum, verify these items before you commit:</w:t>
      </w:r>
    </w:p>
    <w:p>
      <w:pPr>
        <w:spacing w:after="160" w:line="300"/>
      </w:pPr>
      <w:r>
        <w:rPr>
          <w:rFonts w:ascii="Calibri" w:cs="Calibri" w:eastAsia="Calibri" w:hAnsi="Calibri"/>
          <w:sz w:val="22"/>
          <w:szCs w:val="22"/>
        </w:rPr>
        <w:t xml:space="preserve">The hood, exhaust, and makeup air; the grease interceptor; electrical and gas capacity; restroom accessibility; floor drain locations; fire suppression status; roof and shaft routing; and the availability of as-builts and prior permits. Also confirm with the jurisdiction whether your scope could trigger upgrades.</w:t>
      </w:r>
    </w:p>
    <w:p>
      <w:pPr>
        <w:spacing w:before="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9622B" w:sz="24"/>
              <w:left w:val="single" w:color="C9D1DC" w:sz="4"/>
              <w:bottom w:val="single" w:color="C9D1DC" w:sz="4"/>
              <w:right w:val="single" w:color="C9D1DC" w:sz="4"/>
            </w:tcBorders>
            <w:shd w:fill="1E3A5F" w:color="auto" w:val="clear"/>
            <w:tcMar>
              <w:top w:type="dxa" w:w="240"/>
              <w:left w:type="dxa" w:w="300"/>
              <w:bottom w:type="dxa" w:w="240"/>
              <w:right w:type="dxa" w:w="300"/>
            </w:tcMar>
          </w:tcPr>
          <w:p>
            <w:pPr>
              <w:spacing w:after="120"/>
            </w:pPr>
            <w:r>
              <w:rPr>
                <w:rFonts w:ascii="Calibri" w:cs="Calibri" w:eastAsia="Calibri" w:hAnsi="Calibri"/>
                <w:b/>
                <w:bCs/>
                <w:color w:val="FFFFFF"/>
                <w:sz w:val="28"/>
                <w:szCs w:val="28"/>
              </w:rPr>
              <w:t xml:space="preserve">Request a Feasibility Review of a Candidate Space</w:t>
            </w:r>
          </w:p>
          <w:p>
            <w:pPr>
              <w:spacing w:after="160" w:line="290"/>
            </w:pPr>
            <w:r>
              <w:rPr>
                <w:rFonts w:ascii="Calibri" w:cs="Calibri" w:eastAsia="Calibri" w:hAnsi="Calibri"/>
                <w:color w:val="FFFFFF"/>
                <w:sz w:val="22"/>
                <w:szCs w:val="22"/>
              </w:rPr>
              <w:t xml:space="preserve">Before you sign on a former restaurant, find out what the inherited systems can really do for your concept. Share the space with the Brand2Builds team and we will talk through what to verify and whether it looks like a reuse, modify, or gut situation.</w:t>
            </w:r>
          </w:p>
          <w:p>
            <w:r>
              <w:rPr>
                <w:rFonts w:ascii="Calibri" w:cs="Calibri" w:eastAsia="Calibri" w:hAnsi="Calibri"/>
                <w:b/>
                <w:bCs/>
                <w:color w:val="F4A26B"/>
                <w:sz w:val="22"/>
                <w:szCs w:val="22"/>
              </w:rPr>
              <w:t xml:space="preserve">Talk to Brand2Builds about your candidate space</w:t>
            </w:r>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1E3A5F"/>
      <w:sz w:val="40"/>
      <w:szCs w:val="40"/>
    </w:rPr>
  </w:style>
  <w:style w:type="paragraph" w:styleId="Heading2">
    <w:name w:val="Heading 2"/>
    <w:basedOn w:val="Normal"/>
    <w:next w:val="Normal"/>
    <w:qFormat/>
    <w:pPr>
      <w:outlineLvl w:val="1"/>
    </w:pPr>
    <w:rPr>
      <w:rFonts w:ascii="Calibri" w:cs="Calibri" w:eastAsia="Calibri" w:hAnsi="Calibri"/>
      <w:b/>
      <w:bCs/>
      <w:color w:val="1E3A5F"/>
      <w:sz w:val="30"/>
      <w:szCs w:val="30"/>
    </w:rPr>
  </w:style>
  <w:style w:type="paragraph" w:styleId="Heading3">
    <w:name w:val="Heading 3"/>
    <w:basedOn w:val="Normal"/>
    <w:next w:val="Normal"/>
    <w:qFormat/>
    <w:pPr>
      <w:outlineLvl w:val="2"/>
    </w:pPr>
    <w:rPr>
      <w:rFonts w:ascii="Calibri" w:cs="Calibri" w:eastAsia="Calibri" w:hAnsi="Calibri"/>
      <w:b/>
      <w:bCs/>
      <w:color w:val="D9622B"/>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2026-09-29T12:53:51.246Z</dcterms:created>
  <dcterms:modified xsi:type="dcterms:W3CDTF">2026-09-29T12:53:51.246Z</dcterms:modified>
</cp:coreProperties>
</file>

<file path=docProps/custom.xml><?xml version="1.0" encoding="utf-8"?>
<Properties xmlns="http://schemas.openxmlformats.org/officeDocument/2006/custom-properties" xmlns:vt="http://schemas.openxmlformats.org/officeDocument/2006/docPropsVTypes"/>
</file>