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rFonts w:ascii="Calibri" w:cs="Calibri" w:eastAsia="Calibri" w:hAnsi="Calibri"/>
          <w:b/>
          <w:bCs/>
          <w:color w:val="E8772E"/>
          <w:sz w:val="18"/>
          <w:szCs w:val="18"/>
        </w:rPr>
        <w:t xml:space="preserve">BRAND2BUILDS BLOG  |  TENANT IMPROVEMENTS</w:t>
      </w:r>
    </w:p>
    <w:p>
      <w:pPr>
        <w:pStyle w:val="Heading1"/>
        <w:spacing w:after="160"/>
      </w:pPr>
      <w:r>
        <w:rPr>
          <w:rFonts w:ascii="Calibri" w:cs="Calibri" w:eastAsia="Calibri" w:hAnsi="Calibri"/>
          <w:b/>
          <w:bCs/>
          <w:color w:val="1F4E79"/>
          <w:sz w:val="44"/>
          <w:szCs w:val="44"/>
        </w:rPr>
        <w:t xml:space="preserve">10 TI Allowance Mistakes Franchise Brands Keep Making (No. 3 Is Leaving Six Figures on the Landlord's Table)</w:t>
      </w:r>
    </w:p>
    <w:p>
      <w:pPr>
        <w:spacing w:after="160" w:line="300"/>
      </w:pPr>
      <w:r>
        <w:rPr>
          <w:rFonts w:ascii="Calibri" w:cs="Calibri" w:eastAsia="Calibri" w:hAnsi="Calibri"/>
          <w:i/>
          <w:iCs/>
          <w:color w:val="595959"/>
          <w:sz w:val="26"/>
          <w:szCs w:val="26"/>
        </w:rPr>
        <w:t xml:space="preserve">Tenant improvement construction starts long before the first wall goes up. Like, way before. Here is how not to get played at the lease table.</w:t>
      </w:r>
    </w:p>
    <w:p>
      <w:pPr>
        <w:pBdr>
          <w:bottom w:val="single" w:color="E8772E" w:sz="8" w:space="1"/>
        </w:pBdr>
        <w:spacing w:after="200"/>
      </w:pPr>
    </w:p>
    <w:p>
      <w:pPr>
        <w:spacing w:after="160" w:line="300"/>
      </w:pPr>
      <w:r>
        <w:rPr>
          <w:rFonts w:ascii="Calibri" w:cs="Calibri" w:eastAsia="Calibri" w:hAnsi="Calibri"/>
        </w:rPr>
        <w:t xml:space="preserve">Let's start with the definition, because it matters. </w:t>
      </w:r>
      <w:r>
        <w:rPr>
          <w:rFonts w:ascii="Calibri" w:cs="Calibri" w:eastAsia="Calibri" w:hAnsi="Calibri"/>
          <w:b/>
          <w:bCs/>
        </w:rPr>
        <w:t xml:space="preserve">Tenant improvement construction</w:t>
      </w:r>
      <w:r>
        <w:rPr>
          <w:rFonts w:ascii="Calibri" w:cs="Calibri" w:eastAsia="Calibri" w:hAnsi="Calibri"/>
        </w:rPr>
        <w:t xml:space="preserve"> is the work that turns a leased space into your operating location: interior walls, MEP, finishes, fixtures and code upgrades. For franchise brands, it's usually funded partly by a landlord </w:t>
      </w:r>
      <w:r>
        <w:rPr>
          <w:rFonts w:ascii="Calibri" w:cs="Calibri" w:eastAsia="Calibri" w:hAnsi="Calibri"/>
          <w:b/>
          <w:bCs/>
        </w:rPr>
        <w:t xml:space="preserve">TI allowance</w:t>
      </w:r>
      <w:r>
        <w:rPr>
          <w:rFonts w:ascii="Calibri" w:cs="Calibri" w:eastAsia="Calibri" w:hAnsi="Calibri"/>
        </w:rPr>
        <w:t xml:space="preserve"> negotiated in the lease. Which means scope, drawings and cost estimates should exist BEFORE you sign. Not after.</w:t>
      </w:r>
    </w:p>
    <w:p>
      <w:pPr>
        <w:spacing w:after="160" w:line="300"/>
      </w:pPr>
      <w:r>
        <w:rPr>
          <w:rFonts w:ascii="Calibri" w:cs="Calibri" w:eastAsia="Calibri" w:hAnsi="Calibri"/>
        </w:rPr>
        <w:t xml:space="preserve">Simple, right? And yet. Here are the 10 mistakes we see development teams make over and over, plus what to do instead.</w:t>
      </w:r>
    </w:p>
    <w:p>
      <w:pPr>
        <w:spacing w:after="160" w:line="300"/>
      </w:pPr>
      <w:r>
        <w:rPr>
          <w:rFonts w:ascii="Calibri" w:cs="Calibri" w:eastAsia="Calibri" w:hAnsi="Calibri"/>
        </w:rPr>
        <w:t xml:space="preserve">Whether you're a franchisor's development team negotiating dozens of leases a year or a multi-unit franchisee signing your third location, these mistakes cost real money. The good news is that every one of them is fixable before the lease is signed.</w:t>
      </w:r>
    </w:p>
    <w:p>
      <w:pPr>
        <w:pStyle w:val="Heading2"/>
        <w:spacing w:after="140" w:before="320"/>
      </w:pPr>
      <w:r>
        <w:rPr>
          <w:rFonts w:ascii="Calibri" w:cs="Calibri" w:eastAsia="Calibri" w:hAnsi="Calibri"/>
          <w:b/>
          <w:bCs/>
          <w:color w:val="1F4E79"/>
          <w:sz w:val="30"/>
          <w:szCs w:val="30"/>
        </w:rPr>
        <w:t xml:space="preserve">1. Not Knowing How a TI Allowance Is Actually Calculated</w:t>
      </w:r>
    </w:p>
    <w:p>
      <w:pPr>
        <w:spacing w:after="160" w:line="300"/>
      </w:pPr>
      <w:r>
        <w:rPr>
          <w:rFonts w:ascii="Calibri" w:cs="Calibri" w:eastAsia="Calibri" w:hAnsi="Calibri"/>
        </w:rPr>
        <w:t xml:space="preserve">The formula is less mysterious than it sounds: dollars per rentable square foot times your square footage. So a 2,400 SF space with a $50 per SF allowance equals $120,000.</w:t>
      </w:r>
    </w:p>
    <w:p>
      <w:pPr>
        <w:spacing w:after="160" w:line="300"/>
      </w:pPr>
      <w:r>
        <w:rPr>
          <w:rFonts w:ascii="Calibri" w:cs="Calibri" w:eastAsia="Calibri" w:hAnsi="Calibri"/>
        </w:rPr>
        <w:t xml:space="preserve">What moves that dollar figure? Your lease term (longer usually means more), your credit strength, and how badly the landlord wants your type of tenant. A restaurant that will anchor foot traffic has more leverage than you think.</w:t>
      </w:r>
    </w:p>
    <w:p>
      <w:pPr>
        <w:pStyle w:val="Heading2"/>
        <w:spacing w:after="140" w:before="320"/>
      </w:pPr>
      <w:r>
        <w:rPr>
          <w:rFonts w:ascii="Calibri" w:cs="Calibri" w:eastAsia="Calibri" w:hAnsi="Calibri"/>
          <w:b/>
          <w:bCs/>
          <w:color w:val="1F4E79"/>
          <w:sz w:val="30"/>
          <w:szCs w:val="30"/>
        </w:rPr>
        <w:t xml:space="preserve">2. Assuming the Market Number Is Fixed</w:t>
      </w:r>
    </w:p>
    <w:p>
      <w:pPr>
        <w:spacing w:after="160" w:line="300"/>
      </w:pPr>
      <w:r>
        <w:rPr>
          <w:rFonts w:ascii="Calibri" w:cs="Calibri" w:eastAsia="Calibri" w:hAnsi="Calibri"/>
        </w:rPr>
        <w:t xml:space="preserve">Benchmarks are a starting point, not a ceiling. Terrapin Construction Group's 2026 data shows restaurant allowances of roughly $40 to $100 per SF where a landlord wants a food user, but also notes that allowances tightened 8 to 15% in the first half of 2026.</w:t>
      </w:r>
    </w:p>
    <w:p>
      <w:pPr>
        <w:spacing w:after="160" w:line="300"/>
      </w:pPr>
      <w:r>
        <w:rPr>
          <w:rFonts w:ascii="Calibri" w:cs="Calibri" w:eastAsia="Calibri" w:hAnsi="Calibri"/>
        </w:rPr>
        <w:t xml:space="preserve">Translation: the money is still there, but you have to make a stronger case to get it. Which brings us to the big one.</w:t>
      </w:r>
    </w:p>
    <w:p>
      <w:pPr>
        <w:pStyle w:val="Heading2"/>
        <w:spacing w:after="140" w:before="320"/>
      </w:pPr>
      <w:r>
        <w:rPr>
          <w:rFonts w:ascii="Calibri" w:cs="Calibri" w:eastAsia="Calibri" w:hAnsi="Calibri"/>
          <w:b/>
          <w:bCs/>
          <w:color w:val="1F4E79"/>
          <w:sz w:val="30"/>
          <w:szCs w:val="30"/>
        </w:rPr>
        <w:t xml:space="preserve">3. Negotiating TI Without Drawings (aka Leaving Six Figures on the Table)</w:t>
      </w:r>
    </w:p>
    <w:p>
      <w:pPr>
        <w:spacing w:after="160" w:line="300"/>
      </w:pPr>
      <w:r>
        <w:rPr>
          <w:rFonts w:ascii="Calibri" w:cs="Calibri" w:eastAsia="Calibri" w:hAnsi="Calibri"/>
        </w:rPr>
        <w:t xml:space="preserve">Here it is. When you walk into a lease negotiation saying "we need more TI," the landlord hears "please." When you walk in with a test-fit and an order-of-magnitude estimate, the landlord hears "this space has a $90,000 gap, and here's the proof."</w:t>
      </w:r>
    </w:p>
    <w:p>
      <w:pPr>
        <w:spacing w:after="160" w:line="300"/>
      </w:pPr>
      <w:r>
        <w:rPr>
          <w:rFonts w:ascii="Calibri" w:cs="Calibri" w:eastAsia="Calibri" w:hAnsi="Calibri"/>
        </w:rPr>
        <w:t xml:space="preserve">That is a completely different conversation. Drawings turn a request into a number, and numbers get negotiated.</w:t>
      </w:r>
    </w:p>
    <w:p>
      <w:pPr>
        <w:spacing w:after="160" w:line="300"/>
      </w:pPr>
      <w:r>
        <w:rPr>
          <w:rFonts w:ascii="Calibri" w:cs="Calibri" w:eastAsia="Calibri" w:hAnsi="Calibri"/>
        </w:rPr>
        <w:t xml:space="preserve">Let's make it real. Say you're looking at a 2,400 SF second-generation space and the landlord offers $35 per SF, or $84,000. Your test-fit shows the existing hood can't be reused, the electrical service needs an upgrade, and the restrooms don't meet accessibility code. Your estimate for TI-eligible work lands around $175,000. Now you're not asking for a favor. You're showing a documented gap of roughly $91,000 and asking the landlord to meet you somewhere in the middle, maybe with a higher allowance, maybe with landlord work on the electrical, maybe with a few months of free rent.</w:t>
      </w:r>
    </w:p>
    <w:p>
      <w:pPr>
        <w:spacing w:after="160" w:line="300"/>
      </w:pPr>
      <w:r>
        <w:rPr>
          <w:rFonts w:ascii="Calibri" w:cs="Calibri" w:eastAsia="Calibri" w:hAnsi="Calibri"/>
        </w:rPr>
        <w:t xml:space="preserve">Try language like this: "Based on our test-fit, this space requires approximately $X in improvements to meet our prototype standards, compared with $Y at comparable sites. We're requesting a TI allowance that closes that gap."</w:t>
      </w:r>
    </w:p>
    <w:p>
      <w:pPr>
        <w:spacing w:after="160" w:line="300"/>
      </w:pPr>
      <w:r>
        <w:rPr>
          <w:rFonts w:ascii="Calibri" w:cs="Calibri" w:eastAsia="Calibri" w:hAnsi="Calibri"/>
          <w:b/>
          <w:bCs/>
        </w:rPr>
        <w:t xml:space="preserve">Pro tip:</w:t>
      </w:r>
      <w:r>
        <w:rPr>
          <w:rFonts w:ascii="Calibri" w:cs="Calibri" w:eastAsia="Calibri" w:hAnsi="Calibri"/>
        </w:rPr>
        <w:t xml:space="preserve"> start the test-fit at the LOI stage. By the time you see the lease draft, it should already be done.</w:t>
      </w:r>
    </w:p>
    <w:p>
      <w:pPr>
        <w:pStyle w:val="Heading2"/>
        <w:spacing w:after="140" w:before="320"/>
      </w:pPr>
      <w:r>
        <w:rPr>
          <w:rFonts w:ascii="Calibri" w:cs="Calibri" w:eastAsia="Calibri" w:hAnsi="Calibri"/>
          <w:b/>
          <w:bCs/>
          <w:color w:val="1F4E79"/>
          <w:sz w:val="30"/>
          <w:szCs w:val="30"/>
        </w:rPr>
        <w:t xml:space="preserve">4. Not Reading What Actually Qualifies</w:t>
      </w:r>
    </w:p>
    <w:p>
      <w:pPr>
        <w:spacing w:after="160" w:line="300"/>
      </w:pPr>
      <w:r>
        <w:rPr>
          <w:rFonts w:ascii="Calibri" w:cs="Calibri" w:eastAsia="Calibri" w:hAnsi="Calibri"/>
        </w:rPr>
        <w:t xml:space="preserve">Not every dollar you spend is TI-eligible. Here's the general breakdown (always verify against your specific lease):</w:t>
      </w:r>
    </w:p>
    <w:p>
      <w:pPr>
        <w:pStyle w:val="ListParagraph"/>
        <w:numPr>
          <w:ilvl w:val="0"/>
          <w:numId w:val="2"/>
        </w:numPr>
        <w:spacing w:after="80" w:line="290"/>
      </w:pPr>
      <w:r>
        <w:rPr>
          <w:rFonts w:ascii="Calibri" w:cs="Calibri" w:eastAsia="Calibri" w:hAnsi="Calibri"/>
          <w:b/>
          <w:bCs/>
        </w:rPr>
        <w:t xml:space="preserve">Usually qualifies:</w:t>
      </w:r>
      <w:r>
        <w:rPr>
          <w:rFonts w:ascii="Calibri" w:cs="Calibri" w:eastAsia="Calibri" w:hAnsi="Calibri"/>
        </w:rPr>
        <w:t xml:space="preserve"> interior walls, MEP, ceilings, flooring, restrooms, code and accessibility work.</w:t>
      </w:r>
    </w:p>
    <w:p>
      <w:pPr>
        <w:pStyle w:val="ListParagraph"/>
        <w:numPr>
          <w:ilvl w:val="0"/>
          <w:numId w:val="2"/>
        </w:numPr>
        <w:spacing w:after="80" w:line="290"/>
      </w:pPr>
      <w:r>
        <w:rPr>
          <w:rFonts w:ascii="Calibri" w:cs="Calibri" w:eastAsia="Calibri" w:hAnsi="Calibri"/>
          <w:b/>
          <w:bCs/>
        </w:rPr>
        <w:t xml:space="preserve">Often negotiable:</w:t>
      </w:r>
      <w:r>
        <w:rPr>
          <w:rFonts w:ascii="Calibri" w:cs="Calibri" w:eastAsia="Calibri" w:hAnsi="Calibri"/>
        </w:rPr>
        <w:t xml:space="preserve"> storefront, signage, design fees and permit fees.</w:t>
      </w:r>
    </w:p>
    <w:p>
      <w:pPr>
        <w:pStyle w:val="ListParagraph"/>
        <w:numPr>
          <w:ilvl w:val="0"/>
          <w:numId w:val="2"/>
        </w:numPr>
        <w:spacing w:after="80" w:line="290"/>
      </w:pPr>
      <w:r>
        <w:rPr>
          <w:rFonts w:ascii="Calibri" w:cs="Calibri" w:eastAsia="Calibri" w:hAnsi="Calibri"/>
          <w:b/>
          <w:bCs/>
        </w:rPr>
        <w:t xml:space="preserve">Rarely qualifies:</w:t>
      </w:r>
      <w:r>
        <w:rPr>
          <w:rFonts w:ascii="Calibri" w:cs="Calibri" w:eastAsia="Calibri" w:hAnsi="Calibri"/>
        </w:rPr>
        <w:t xml:space="preserve"> FF&amp;E, kitchen equipment and smallwares.</w:t>
      </w:r>
    </w:p>
    <w:p>
      <w:pPr>
        <w:spacing w:after="160" w:line="300"/>
      </w:pPr>
      <w:r>
        <w:rPr>
          <w:rFonts w:ascii="Calibri" w:cs="Calibri" w:eastAsia="Calibri" w:hAnsi="Calibri"/>
        </w:rPr>
        <w:t xml:space="preserve">If design and permit fees are negotiable and you don't ask, that's money you're choosing not to get.</w:t>
      </w:r>
    </w:p>
    <w:p>
      <w:pPr>
        <w:pStyle w:val="Heading2"/>
        <w:spacing w:after="140" w:before="320"/>
      </w:pPr>
      <w:r>
        <w:rPr>
          <w:rFonts w:ascii="Calibri" w:cs="Calibri" w:eastAsia="Calibri" w:hAnsi="Calibri"/>
          <w:b/>
          <w:bCs/>
          <w:color w:val="1F4E79"/>
          <w:sz w:val="30"/>
          <w:szCs w:val="30"/>
        </w:rPr>
        <w:t xml:space="preserve">5. Forgetting That TI Is Usually Reimbursed</w:t>
      </w:r>
    </w:p>
    <w:p>
      <w:pPr>
        <w:spacing w:after="160" w:line="300"/>
      </w:pPr>
      <w:r>
        <w:rPr>
          <w:rFonts w:ascii="Calibri" w:cs="Calibri" w:eastAsia="Calibri" w:hAnsi="Calibri"/>
        </w:rPr>
        <w:t xml:space="preserve">Plot twist for first-timers: many landlords don't hand you a check upfront. They reimburse you after work is complete and lien waivers come in. That means you (or your franchisee) float construction costs in the meantime.</w:t>
      </w:r>
    </w:p>
    <w:p>
      <w:pPr>
        <w:spacing w:after="160" w:line="300"/>
      </w:pPr>
      <w:r>
        <w:rPr>
          <w:rFonts w:ascii="Calibri" w:cs="Calibri" w:eastAsia="Calibri" w:hAnsi="Calibri"/>
        </w:rPr>
        <w:t xml:space="preserve">Plan your cash flow and financing draws around this. Some brands negotiate progress payments instead. It's worth asking.</w:t>
      </w:r>
    </w:p>
    <w:p>
      <w:pPr>
        <w:spacing w:after="160" w:line="300"/>
      </w:pPr>
      <w:r>
        <w:rPr>
          <w:rFonts w:ascii="Calibri" w:cs="Calibri" w:eastAsia="Calibri" w:hAnsi="Calibri"/>
        </w:rPr>
        <w:t xml:space="preserve">Also check what paperwork triggers the reimbursement: final lien waivers, a certificate of occupancy, receipts, an architect's certification. Missing one document can delay your money for weeks, so build that list into your closeout plan from the start.</w:t>
      </w:r>
    </w:p>
    <w:p>
      <w:pPr>
        <w:pStyle w:val="Heading2"/>
        <w:spacing w:after="140" w:before="320"/>
      </w:pPr>
      <w:r>
        <w:rPr>
          <w:rFonts w:ascii="Calibri" w:cs="Calibri" w:eastAsia="Calibri" w:hAnsi="Calibri"/>
          <w:b/>
          <w:bCs/>
          <w:color w:val="1F4E79"/>
          <w:sz w:val="30"/>
          <w:szCs w:val="30"/>
        </w:rPr>
        <w:t xml:space="preserve">6. Ignoring the Work Letter</w:t>
      </w:r>
    </w:p>
    <w:p>
      <w:pPr>
        <w:spacing w:after="160" w:line="300"/>
      </w:pPr>
      <w:r>
        <w:rPr>
          <w:rFonts w:ascii="Calibri" w:cs="Calibri" w:eastAsia="Calibri" w:hAnsi="Calibri"/>
        </w:rPr>
        <w:t xml:space="preserve">The work letter is the exhibit that says who builds what, who pays for what, and what condition the space must be in at delivery. It's often where the real money hides.</w:t>
      </w:r>
    </w:p>
    <w:p>
      <w:pPr>
        <w:spacing w:after="160" w:line="300"/>
      </w:pPr>
      <w:r>
        <w:rPr>
          <w:rFonts w:ascii="Calibri" w:cs="Calibri" w:eastAsia="Calibri" w:hAnsi="Calibri"/>
        </w:rPr>
        <w:t xml:space="preserve">Is the landlord delivering a white box or a gray shell? Who pays to upgrade the electrical service? Who handles the grease interceptor? If the work letter is vague, those questions become your problem later, usually at the worst possible moment.</w:t>
      </w:r>
    </w:p>
    <w:p>
      <w:pPr>
        <w:pStyle w:val="Heading2"/>
        <w:spacing w:after="140" w:before="320"/>
      </w:pPr>
      <w:r>
        <w:rPr>
          <w:rFonts w:ascii="Calibri" w:cs="Calibri" w:eastAsia="Calibri" w:hAnsi="Calibri"/>
          <w:b/>
          <w:bCs/>
          <w:color w:val="1F4E79"/>
          <w:sz w:val="30"/>
          <w:szCs w:val="30"/>
        </w:rPr>
        <w:t xml:space="preserve">7. Guessing at the Tenant Improvement Construction Timeline</w:t>
      </w:r>
    </w:p>
    <w:p>
      <w:pPr>
        <w:spacing w:after="160" w:line="300"/>
      </w:pPr>
      <w:r>
        <w:rPr>
          <w:rFonts w:ascii="Calibri" w:cs="Calibri" w:eastAsia="Calibri" w:hAnsi="Calibri"/>
        </w:rPr>
        <w:t xml:space="preserve">Want your landlord, franchisee and ops team all happy? Give them a realistic </w:t>
      </w:r>
      <w:r>
        <w:rPr>
          <w:rFonts w:ascii="Calibri" w:cs="Calibri" w:eastAsia="Calibri" w:hAnsi="Calibri"/>
          <w:b/>
          <w:bCs/>
        </w:rPr>
        <w:t xml:space="preserve">tenant improvement construction timeline</w:t>
      </w:r>
      <w:r>
        <w:rPr>
          <w:rFonts w:ascii="Calibri" w:cs="Calibri" w:eastAsia="Calibri" w:hAnsi="Calibri"/>
        </w:rPr>
        <w:t xml:space="preserve">. The steps look like this:</w:t>
      </w:r>
    </w:p>
    <w:p>
      <w:pPr>
        <w:pStyle w:val="ListParagraph"/>
        <w:numPr>
          <w:ilvl w:val="0"/>
          <w:numId w:val="2"/>
        </w:numPr>
        <w:spacing w:after="80" w:line="290"/>
      </w:pPr>
      <w:r>
        <w:rPr>
          <w:rFonts w:ascii="Calibri" w:cs="Calibri" w:eastAsia="Calibri" w:hAnsi="Calibri"/>
        </w:rPr>
        <w:t xml:space="preserve">LOI and test-fit</w:t>
      </w:r>
    </w:p>
    <w:p>
      <w:pPr>
        <w:pStyle w:val="ListParagraph"/>
        <w:numPr>
          <w:ilvl w:val="0"/>
          <w:numId w:val="2"/>
        </w:numPr>
        <w:spacing w:after="80" w:line="290"/>
      </w:pPr>
      <w:r>
        <w:rPr>
          <w:rFonts w:ascii="Calibri" w:cs="Calibri" w:eastAsia="Calibri" w:hAnsi="Calibri"/>
        </w:rPr>
        <w:t xml:space="preserve">Lease and work letter</w:t>
      </w:r>
    </w:p>
    <w:p>
      <w:pPr>
        <w:pStyle w:val="ListParagraph"/>
        <w:numPr>
          <w:ilvl w:val="0"/>
          <w:numId w:val="2"/>
        </w:numPr>
        <w:spacing w:after="80" w:line="290"/>
      </w:pPr>
      <w:r>
        <w:rPr>
          <w:rFonts w:ascii="Calibri" w:cs="Calibri" w:eastAsia="Calibri" w:hAnsi="Calibri"/>
        </w:rPr>
        <w:t xml:space="preserve">Design and construction drawings</w:t>
      </w:r>
    </w:p>
    <w:p>
      <w:pPr>
        <w:pStyle w:val="ListParagraph"/>
        <w:numPr>
          <w:ilvl w:val="0"/>
          <w:numId w:val="2"/>
        </w:numPr>
        <w:spacing w:after="80" w:line="290"/>
      </w:pPr>
      <w:r>
        <w:rPr>
          <w:rFonts w:ascii="Calibri" w:cs="Calibri" w:eastAsia="Calibri" w:hAnsi="Calibri"/>
        </w:rPr>
        <w:t xml:space="preserve">Permit submittal and review</w:t>
      </w:r>
    </w:p>
    <w:p>
      <w:pPr>
        <w:pStyle w:val="ListParagraph"/>
        <w:numPr>
          <w:ilvl w:val="0"/>
          <w:numId w:val="2"/>
        </w:numPr>
        <w:spacing w:after="80" w:line="290"/>
      </w:pPr>
      <w:r>
        <w:rPr>
          <w:rFonts w:ascii="Calibri" w:cs="Calibri" w:eastAsia="Calibri" w:hAnsi="Calibri"/>
        </w:rPr>
        <w:t xml:space="preserve">Construction</w:t>
      </w:r>
    </w:p>
    <w:p>
      <w:pPr>
        <w:pStyle w:val="ListParagraph"/>
        <w:numPr>
          <w:ilvl w:val="0"/>
          <w:numId w:val="2"/>
        </w:numPr>
        <w:spacing w:after="80" w:line="290"/>
      </w:pPr>
      <w:r>
        <w:rPr>
          <w:rFonts w:ascii="Calibri" w:cs="Calibri" w:eastAsia="Calibri" w:hAnsi="Calibri"/>
        </w:rPr>
        <w:t xml:space="preserve">Inspections</w:t>
      </w:r>
    </w:p>
    <w:p>
      <w:pPr>
        <w:pStyle w:val="ListParagraph"/>
        <w:numPr>
          <w:ilvl w:val="0"/>
          <w:numId w:val="2"/>
        </w:numPr>
        <w:spacing w:after="80" w:line="290"/>
      </w:pPr>
      <w:r>
        <w:rPr>
          <w:rFonts w:ascii="Calibri" w:cs="Calibri" w:eastAsia="Calibri" w:hAnsi="Calibri"/>
        </w:rPr>
        <w:t xml:space="preserve">Turnover to the tenant</w:t>
      </w:r>
    </w:p>
    <w:p>
      <w:pPr>
        <w:spacing w:after="160" w:line="300"/>
      </w:pPr>
      <w:r>
        <w:rPr>
          <w:rFonts w:ascii="Calibri" w:cs="Calibri" w:eastAsia="Calibri" w:hAnsi="Calibri"/>
        </w:rPr>
        <w:t xml:space="preserve">Each step has its own duration, and permits are the wild card that varies the most by city. Build buffer in before you promise anyone an opening date.</w:t>
      </w:r>
    </w:p>
    <w:p>
      <w:pPr>
        <w:pStyle w:val="Heading2"/>
        <w:spacing w:after="140" w:before="320"/>
      </w:pPr>
      <w:r>
        <w:rPr>
          <w:rFonts w:ascii="Calibri" w:cs="Calibri" w:eastAsia="Calibri" w:hAnsi="Calibri"/>
          <w:b/>
          <w:bCs/>
          <w:color w:val="1F4E79"/>
          <w:sz w:val="30"/>
          <w:szCs w:val="30"/>
        </w:rPr>
        <w:t xml:space="preserve">8. Treating Every Lease Like a Brand New Puzzle</w:t>
      </w:r>
    </w:p>
    <w:p>
      <w:pPr>
        <w:spacing w:after="160" w:line="300"/>
      </w:pPr>
      <w:r>
        <w:rPr>
          <w:rFonts w:ascii="Calibri" w:cs="Calibri" w:eastAsia="Calibri" w:hAnsi="Calibri"/>
        </w:rPr>
        <w:t xml:space="preserve">If you're opening many units, you don't need to reinvent TI every time. Brands that negotiate well across a portfolio usually have three tools:</w:t>
      </w:r>
    </w:p>
    <w:p>
      <w:pPr>
        <w:pStyle w:val="ListParagraph"/>
        <w:numPr>
          <w:ilvl w:val="0"/>
          <w:numId w:val="2"/>
        </w:numPr>
        <w:spacing w:after="80" w:line="290"/>
      </w:pPr>
      <w:r>
        <w:rPr>
          <w:rFonts w:ascii="Calibri" w:cs="Calibri" w:eastAsia="Calibri" w:hAnsi="Calibri"/>
          <w:b/>
          <w:bCs/>
        </w:rPr>
        <w:t xml:space="preserve">A standard work letter exhibit</w:t>
      </w:r>
      <w:r>
        <w:rPr>
          <w:rFonts w:ascii="Calibri" w:cs="Calibri" w:eastAsia="Calibri" w:hAnsi="Calibri"/>
        </w:rPr>
        <w:t xml:space="preserve"> they propose on every deal.</w:t>
      </w:r>
    </w:p>
    <w:p>
      <w:pPr>
        <w:pStyle w:val="ListParagraph"/>
        <w:numPr>
          <w:ilvl w:val="0"/>
          <w:numId w:val="2"/>
        </w:numPr>
        <w:spacing w:after="80" w:line="290"/>
      </w:pPr>
      <w:r>
        <w:rPr>
          <w:rFonts w:ascii="Calibri" w:cs="Calibri" w:eastAsia="Calibri" w:hAnsi="Calibri"/>
          <w:b/>
          <w:bCs/>
        </w:rPr>
        <w:t xml:space="preserve">A prototype-based estimate template</w:t>
      </w:r>
      <w:r>
        <w:rPr>
          <w:rFonts w:ascii="Calibri" w:cs="Calibri" w:eastAsia="Calibri" w:hAnsi="Calibri"/>
        </w:rPr>
        <w:t xml:space="preserve"> that turns any test-fit into a cost range fast.</w:t>
      </w:r>
    </w:p>
    <w:p>
      <w:pPr>
        <w:pStyle w:val="ListParagraph"/>
        <w:numPr>
          <w:ilvl w:val="0"/>
          <w:numId w:val="2"/>
        </w:numPr>
        <w:spacing w:after="80" w:line="290"/>
      </w:pPr>
      <w:r>
        <w:rPr>
          <w:rFonts w:ascii="Calibri" w:cs="Calibri" w:eastAsia="Calibri" w:hAnsi="Calibri"/>
          <w:b/>
          <w:bCs/>
        </w:rPr>
        <w:t xml:space="preserve">A tracker of allowance vs actual cost per unit,</w:t>
      </w:r>
      <w:r>
        <w:rPr>
          <w:rFonts w:ascii="Calibri" w:cs="Calibri" w:eastAsia="Calibri" w:hAnsi="Calibri"/>
        </w:rPr>
        <w:t xml:space="preserve"> so they know what a fair TI number looks like in each market.</w:t>
      </w:r>
    </w:p>
    <w:p>
      <w:pPr>
        <w:spacing w:after="160" w:line="300"/>
      </w:pPr>
      <w:r>
        <w:rPr>
          <w:rFonts w:ascii="Calibri" w:cs="Calibri" w:eastAsia="Calibri" w:hAnsi="Calibri"/>
        </w:rPr>
        <w:t xml:space="preserve">That third one is gold the next time a landlord says "this is our standard offer."</w:t>
      </w:r>
    </w:p>
    <w:p>
      <w:pPr>
        <w:pStyle w:val="Heading2"/>
        <w:spacing w:after="140" w:before="320"/>
      </w:pPr>
      <w:r>
        <w:rPr>
          <w:rFonts w:ascii="Calibri" w:cs="Calibri" w:eastAsia="Calibri" w:hAnsi="Calibri"/>
          <w:b/>
          <w:bCs/>
          <w:color w:val="1F4E79"/>
          <w:sz w:val="30"/>
          <w:szCs w:val="30"/>
        </w:rPr>
        <w:t xml:space="preserve">9. Forgetting About Remodel Cycles</w:t>
      </w:r>
    </w:p>
    <w:p>
      <w:pPr>
        <w:spacing w:after="160" w:line="300"/>
      </w:pPr>
      <w:r>
        <w:rPr>
          <w:rFonts w:ascii="Calibri" w:cs="Calibri" w:eastAsia="Calibri" w:hAnsi="Calibri"/>
        </w:rPr>
        <w:t xml:space="preserve">Here's a sneaky one. Many franchise agreements require a remodel or refresh every 7 to 10 years, depending on the brand. If you design TI only for opening day, the remodel turns into a rebuild.</w:t>
      </w:r>
    </w:p>
    <w:p>
      <w:pPr>
        <w:spacing w:after="160" w:line="300"/>
      </w:pPr>
      <w:r>
        <w:rPr>
          <w:rFonts w:ascii="Calibri" w:cs="Calibri" w:eastAsia="Calibri" w:hAnsi="Calibri"/>
        </w:rPr>
        <w:t xml:space="preserve">Plan infrastructure now: extra electrical capacity, MEP stubs in the right places, and a layout flexible enough for future updates. Then look at the full picture:</w:t>
      </w:r>
    </w:p>
    <w:p>
      <w:pPr>
        <w:spacing w:after="160" w:line="300"/>
        <w:jc w:val="center"/>
      </w:pPr>
      <w:r>
        <w:rPr>
          <w:rFonts w:ascii="Calibri" w:cs="Calibri" w:eastAsia="Calibri" w:hAnsi="Calibri"/>
          <w:b/>
          <w:bCs/>
        </w:rPr>
        <w:t xml:space="preserve">Total 10-year facility cost = initial build-out - TI allowance + remodel cost(s)</w:t>
      </w:r>
    </w:p>
    <w:p>
      <w:pPr>
        <w:spacing w:after="160" w:line="300"/>
      </w:pPr>
      <w:r>
        <w:rPr>
          <w:rFonts w:ascii="Calibri" w:cs="Calibri" w:eastAsia="Calibri" w:hAnsi="Calibri"/>
          <w:b/>
          <w:bCs/>
        </w:rPr>
        <w:t xml:space="preserve">Remodel cycle costs</w:t>
      </w:r>
      <w:r>
        <w:rPr>
          <w:rFonts w:ascii="Calibri" w:cs="Calibri" w:eastAsia="Calibri" w:hAnsi="Calibri"/>
        </w:rPr>
        <w:t xml:space="preserve"> belong in the conversation from day one, not year eight.</w:t>
      </w:r>
    </w:p>
    <w:p>
      <w:pPr>
        <w:pStyle w:val="Heading2"/>
        <w:spacing w:after="140" w:before="320"/>
      </w:pPr>
      <w:r>
        <w:rPr>
          <w:rFonts w:ascii="Calibri" w:cs="Calibri" w:eastAsia="Calibri" w:hAnsi="Calibri"/>
          <w:b/>
          <w:bCs/>
          <w:color w:val="1F4E79"/>
          <w:sz w:val="30"/>
          <w:szCs w:val="30"/>
        </w:rPr>
        <w:t xml:space="preserve">10. Not Knowing Who Manages the Work</w:t>
      </w:r>
    </w:p>
    <w:p>
      <w:pPr>
        <w:spacing w:after="160" w:line="300"/>
      </w:pPr>
      <w:r>
        <w:rPr>
          <w:rFonts w:ascii="Calibri" w:cs="Calibri" w:eastAsia="Calibri" w:hAnsi="Calibri"/>
        </w:rPr>
        <w:t xml:space="preserve">Landlord-managed or tenant-managed? Each has trade-offs. When the landlord builds, you get less control over schedule and quality. When the tenant builds, you get control, but also all the coordination.</w:t>
      </w:r>
    </w:p>
    <w:p>
      <w:pPr>
        <w:spacing w:after="160" w:line="300"/>
      </w:pPr>
      <w:r>
        <w:rPr>
          <w:rFonts w:ascii="Calibri" w:cs="Calibri" w:eastAsia="Calibri" w:hAnsi="Calibri"/>
        </w:rPr>
        <w:t xml:space="preserve">For franchise brands with a strict prototype, tenant-managed with an experienced partner is often the safer route, because your brand standards stay in your hands.</w:t>
      </w:r>
    </w:p>
    <w:p>
      <w:pPr>
        <w:pStyle w:val="Heading2"/>
        <w:spacing w:after="140" w:before="320"/>
      </w:pPr>
      <w:r>
        <w:rPr>
          <w:rFonts w:ascii="Calibri" w:cs="Calibri" w:eastAsia="Calibri" w:hAnsi="Calibri"/>
          <w:b/>
          <w:bCs/>
          <w:color w:val="1F4E79"/>
          <w:sz w:val="30"/>
          <w:szCs w:val="30"/>
        </w:rPr>
        <w:t xml:space="preserve">Bonus: 7 Questions to Ask Your Landlord Before You Sign</w:t>
      </w:r>
    </w:p>
    <w:p>
      <w:pPr>
        <w:pStyle w:val="ListParagraph"/>
        <w:numPr>
          <w:ilvl w:val="0"/>
          <w:numId w:val="2"/>
        </w:numPr>
        <w:spacing w:after="80" w:line="290"/>
      </w:pPr>
      <w:r>
        <w:rPr>
          <w:rFonts w:ascii="Calibri" w:cs="Calibri" w:eastAsia="Calibri" w:hAnsi="Calibri"/>
        </w:rPr>
        <w:t xml:space="preserve">What exact shell condition will you deliver, and by what date?</w:t>
      </w:r>
    </w:p>
    <w:p>
      <w:pPr>
        <w:pStyle w:val="ListParagraph"/>
        <w:numPr>
          <w:ilvl w:val="0"/>
          <w:numId w:val="2"/>
        </w:numPr>
        <w:spacing w:after="80" w:line="290"/>
      </w:pPr>
      <w:r>
        <w:rPr>
          <w:rFonts w:ascii="Calibri" w:cs="Calibri" w:eastAsia="Calibri" w:hAnsi="Calibri"/>
        </w:rPr>
        <w:t xml:space="preserve">Is the TI allowance paid upfront, in progress payments, or as a reimbursement?</w:t>
      </w:r>
    </w:p>
    <w:p>
      <w:pPr>
        <w:pStyle w:val="ListParagraph"/>
        <w:numPr>
          <w:ilvl w:val="0"/>
          <w:numId w:val="2"/>
        </w:numPr>
        <w:spacing w:after="80" w:line="290"/>
      </w:pPr>
      <w:r>
        <w:rPr>
          <w:rFonts w:ascii="Calibri" w:cs="Calibri" w:eastAsia="Calibri" w:hAnsi="Calibri"/>
        </w:rPr>
        <w:t xml:space="preserve">Which costs qualify, and are design and permit fees included?</w:t>
      </w:r>
    </w:p>
    <w:p>
      <w:pPr>
        <w:pStyle w:val="ListParagraph"/>
        <w:numPr>
          <w:ilvl w:val="0"/>
          <w:numId w:val="2"/>
        </w:numPr>
        <w:spacing w:after="80" w:line="290"/>
      </w:pPr>
      <w:r>
        <w:rPr>
          <w:rFonts w:ascii="Calibri" w:cs="Calibri" w:eastAsia="Calibri" w:hAnsi="Calibri"/>
        </w:rPr>
        <w:t xml:space="preserve">What documents trigger payment, and how fast do you pay after receiving them?</w:t>
      </w:r>
    </w:p>
    <w:p>
      <w:pPr>
        <w:pStyle w:val="ListParagraph"/>
        <w:numPr>
          <w:ilvl w:val="0"/>
          <w:numId w:val="2"/>
        </w:numPr>
        <w:spacing w:after="80" w:line="290"/>
      </w:pPr>
      <w:r>
        <w:rPr>
          <w:rFonts w:ascii="Calibri" w:cs="Calibri" w:eastAsia="Calibri" w:hAnsi="Calibri"/>
        </w:rPr>
        <w:t xml:space="preserve">Is there a deadline to use the allowance before it expires?</w:t>
      </w:r>
    </w:p>
    <w:p>
      <w:pPr>
        <w:pStyle w:val="ListParagraph"/>
        <w:numPr>
          <w:ilvl w:val="0"/>
          <w:numId w:val="2"/>
        </w:numPr>
        <w:spacing w:after="80" w:line="290"/>
      </w:pPr>
      <w:r>
        <w:rPr>
          <w:rFonts w:ascii="Calibri" w:cs="Calibri" w:eastAsia="Calibri" w:hAnsi="Calibri"/>
        </w:rPr>
        <w:t xml:space="preserve">Who pays for utility upgrades, like electrical service or a grease interceptor?</w:t>
      </w:r>
    </w:p>
    <w:p>
      <w:pPr>
        <w:pStyle w:val="ListParagraph"/>
        <w:numPr>
          <w:ilvl w:val="0"/>
          <w:numId w:val="2"/>
        </w:numPr>
        <w:spacing w:after="80" w:line="290"/>
      </w:pPr>
      <w:r>
        <w:rPr>
          <w:rFonts w:ascii="Calibri" w:cs="Calibri" w:eastAsia="Calibri" w:hAnsi="Calibri"/>
        </w:rPr>
        <w:t xml:space="preserve">Are there landlord approvals or design restrictions on storefront and signage?</w:t>
      </w:r>
    </w:p>
    <w:p>
      <w:pPr>
        <w:spacing w:after="160" w:line="300"/>
      </w:pPr>
      <w:r>
        <w:rPr>
          <w:rFonts w:ascii="Calibri" w:cs="Calibri" w:eastAsia="Calibri" w:hAnsi="Calibri"/>
        </w:rPr>
        <w:t xml:space="preserve">Get the answers in writing, ideally in the work letter itself. Verbal promises have a funny way of disappearing at closeout.</w:t>
      </w:r>
    </w:p>
    <w:p>
      <w:pPr>
        <w:pStyle w:val="Heading2"/>
        <w:spacing w:after="140" w:before="320"/>
      </w:pPr>
      <w:r>
        <w:rPr>
          <w:rFonts w:ascii="Calibri" w:cs="Calibri" w:eastAsia="Calibri" w:hAnsi="Calibri"/>
          <w:b/>
          <w:bCs/>
          <w:color w:val="1F4E79"/>
          <w:sz w:val="30"/>
          <w:szCs w:val="30"/>
        </w:rPr>
        <w:t xml:space="preserve">The Takeaway</w:t>
      </w:r>
    </w:p>
    <w:p>
      <w:pPr>
        <w:spacing w:after="160" w:line="300"/>
      </w:pPr>
      <w:r>
        <w:rPr>
          <w:rFonts w:ascii="Calibri" w:cs="Calibri" w:eastAsia="Calibri" w:hAnsi="Calibri"/>
          <w:b/>
          <w:bCs/>
        </w:rPr>
        <w:t xml:space="preserve">TI allowance for restaurant franchises</w:t>
      </w:r>
      <w:r>
        <w:rPr>
          <w:rFonts w:ascii="Calibri" w:cs="Calibri" w:eastAsia="Calibri" w:hAnsi="Calibri"/>
        </w:rPr>
        <w:t xml:space="preserve"> isn't free money, and it isn't a fixed number. It's a negotiation, and the side with drawings and numbers usually wins. That's </w:t>
      </w:r>
      <w:r>
        <w:rPr>
          <w:rFonts w:ascii="Calibri" w:cs="Calibri" w:eastAsia="Calibri" w:hAnsi="Calibri"/>
          <w:b/>
          <w:bCs/>
        </w:rPr>
        <w:t xml:space="preserve">how to maximize tenant improvement allowance</w:t>
      </w:r>
      <w:r>
        <w:rPr>
          <w:rFonts w:ascii="Calibri" w:cs="Calibri" w:eastAsia="Calibri" w:hAnsi="Calibri"/>
        </w:rPr>
        <w:t xml:space="preserve">: get your scope on paper before the lease is signed.</w:t>
      </w:r>
    </w:p>
    <w:p>
      <w:pPr>
        <w:spacing w:after="160" w:line="300"/>
      </w:pPr>
      <w:r>
        <w:rPr>
          <w:rFonts w:ascii="Calibri" w:cs="Calibri" w:eastAsia="Calibri" w:hAnsi="Calibri"/>
        </w:rPr>
        <w:t xml:space="preserve">And when you're running multiple leases at once, those numbers compound. Every unit where you negotiate from a test-fit instead of a guess is another chunk of capital you keep for the next opening.</w:t>
      </w:r>
    </w:p>
    <w:p>
      <w:pPr>
        <w:pStyle w:val="Heading2"/>
        <w:spacing w:after="140" w:before="320"/>
      </w:pPr>
      <w:r>
        <w:rPr>
          <w:rFonts w:ascii="Calibri" w:cs="Calibri" w:eastAsia="Calibri" w:hAnsi="Calibri"/>
          <w:b/>
          <w:bCs/>
          <w:color w:val="1F4E79"/>
          <w:sz w:val="30"/>
          <w:szCs w:val="30"/>
        </w:rPr>
        <w:t xml:space="preserve">FAQs</w:t>
      </w:r>
    </w:p>
    <w:p>
      <w:pPr>
        <w:pStyle w:val="Heading3"/>
        <w:spacing w:after="90" w:before="220"/>
      </w:pPr>
      <w:r>
        <w:rPr>
          <w:rFonts w:ascii="Calibri" w:cs="Calibri" w:eastAsia="Calibri" w:hAnsi="Calibri"/>
          <w:b/>
          <w:bCs/>
          <w:color w:val="E8772E"/>
          <w:sz w:val="25"/>
          <w:szCs w:val="25"/>
        </w:rPr>
        <w:t xml:space="preserve">How much TI allowance should a restaurant franchise get?</w:t>
      </w:r>
    </w:p>
    <w:p>
      <w:pPr>
        <w:spacing w:after="160" w:line="300"/>
      </w:pPr>
      <w:r>
        <w:rPr>
          <w:rFonts w:ascii="Calibri" w:cs="Calibri" w:eastAsia="Calibri" w:hAnsi="Calibri"/>
        </w:rPr>
        <w:t xml:space="preserve">There is no single number, but Terrapin Construction Group's 2026 benchmarks put restaurant allowances at roughly $40 to $100 per SF where a landlord wants a food tenant. Lease term, credit and how much the space needs all change the figure.</w:t>
      </w:r>
    </w:p>
    <w:p>
      <w:pPr>
        <w:pStyle w:val="Heading3"/>
        <w:spacing w:after="90" w:before="220"/>
      </w:pPr>
      <w:r>
        <w:rPr>
          <w:rFonts w:ascii="Calibri" w:cs="Calibri" w:eastAsia="Calibri" w:hAnsi="Calibri"/>
          <w:b/>
          <w:bCs/>
          <w:color w:val="E8772E"/>
          <w:sz w:val="25"/>
          <w:szCs w:val="25"/>
        </w:rPr>
        <w:t xml:space="preserve">How long does tenant improvement construction take?</w:t>
      </w:r>
    </w:p>
    <w:p>
      <w:pPr>
        <w:spacing w:after="160" w:line="300"/>
      </w:pPr>
      <w:r>
        <w:rPr>
          <w:rFonts w:ascii="Calibri" w:cs="Calibri" w:eastAsia="Calibri" w:hAnsi="Calibri"/>
        </w:rPr>
        <w:t xml:space="preserve">It depends on scope, shell condition and permit review times in your jurisdiction. Permits are usually the biggest variable. Your partner should give you a timeline based on similar projects in that market.</w:t>
      </w:r>
    </w:p>
    <w:p>
      <w:pPr>
        <w:pStyle w:val="Heading3"/>
        <w:spacing w:after="90" w:before="220"/>
      </w:pPr>
      <w:r>
        <w:rPr>
          <w:rFonts w:ascii="Calibri" w:cs="Calibri" w:eastAsia="Calibri" w:hAnsi="Calibri"/>
          <w:b/>
          <w:bCs/>
          <w:color w:val="E8772E"/>
          <w:sz w:val="25"/>
          <w:szCs w:val="25"/>
        </w:rPr>
        <w:t xml:space="preserve">Who manages TI construction, the landlord or the tenant?</w:t>
      </w:r>
    </w:p>
    <w:p>
      <w:pPr>
        <w:spacing w:after="160" w:line="300"/>
      </w:pPr>
      <w:r>
        <w:rPr>
          <w:rFonts w:ascii="Calibri" w:cs="Calibri" w:eastAsia="Calibri" w:hAnsi="Calibri"/>
        </w:rPr>
        <w:t xml:space="preserve">Either, depending on the lease. Landlord-managed work means less control for you; tenant-managed work means more control and more coordination. Franchise brands with strict prototypes often prefer tenant-managed work with an experienced partner.</w:t>
      </w:r>
    </w:p>
    <w:p>
      <w:pPr>
        <w:pStyle w:val="Heading3"/>
        <w:spacing w:after="90" w:before="220"/>
      </w:pPr>
      <w:r>
        <w:rPr>
          <w:rFonts w:ascii="Calibri" w:cs="Calibri" w:eastAsia="Calibri" w:hAnsi="Calibri"/>
          <w:b/>
          <w:bCs/>
          <w:color w:val="E8772E"/>
          <w:sz w:val="25"/>
          <w:szCs w:val="25"/>
        </w:rPr>
        <w:t xml:space="preserve">Is a TI allowance paid upfront?</w:t>
      </w:r>
    </w:p>
    <w:p>
      <w:pPr>
        <w:spacing w:after="160" w:line="300"/>
      </w:pPr>
      <w:r>
        <w:rPr>
          <w:rFonts w:ascii="Calibri" w:cs="Calibri" w:eastAsia="Calibri" w:hAnsi="Calibri"/>
        </w:rPr>
        <w:t xml:space="preserve">Usually not. Many landlords reimburse after work is complete and lien waivers are delivered. Some agree to progress payments, so it is worth negotiating.</w:t>
      </w:r>
    </w:p>
    <w:p>
      <w:pPr>
        <w:pBdr>
          <w:bottom w:val="single" w:color="E8772E" w:sz="8" w:space="1"/>
        </w:pBdr>
        <w:spacing w:after="200"/>
      </w:pPr>
    </w:p>
    <w:p>
      <w:pPr>
        <w:pStyle w:val="Heading2"/>
        <w:spacing w:after="140" w:before="320"/>
      </w:pPr>
      <w:r>
        <w:rPr>
          <w:rFonts w:ascii="Calibri" w:cs="Calibri" w:eastAsia="Calibri" w:hAnsi="Calibri"/>
          <w:b/>
          <w:bCs/>
          <w:color w:val="1F4E79"/>
          <w:sz w:val="30"/>
          <w:szCs w:val="30"/>
        </w:rPr>
        <w:t xml:space="preserve">Got an LOI on Your Desk?</w:t>
      </w:r>
    </w:p>
    <w:p>
      <w:pPr>
        <w:spacing w:after="160" w:line="300"/>
      </w:pPr>
      <w:r>
        <w:rPr>
          <w:rFonts w:ascii="Calibri" w:cs="Calibri" w:eastAsia="Calibri" w:hAnsi="Calibri"/>
        </w:rPr>
        <w:t xml:space="preserve">Send it to </w:t>
      </w:r>
      <w:r>
        <w:rPr>
          <w:rFonts w:ascii="Calibri" w:cs="Calibri" w:eastAsia="Calibri" w:hAnsi="Calibri"/>
          <w:b/>
          <w:bCs/>
        </w:rPr>
        <w:t xml:space="preserve">Brand2Builds</w:t>
      </w:r>
      <w:r>
        <w:rPr>
          <w:rFonts w:ascii="Calibri" w:cs="Calibri" w:eastAsia="Calibri" w:hAnsi="Calibri"/>
        </w:rPr>
        <w:t xml:space="preserve">. We'll help you turn the space into a test-fit and cost estimate you can take straight into the lease negotiation, so your next brick and mortar location starts with the numbers on your side.</w:t>
      </w:r>
    </w:p>
    <w:p>
      <w:pPr>
        <w:spacing w:after="160" w:line="300"/>
      </w:pPr>
      <w:r>
        <w:rPr>
          <w:rFonts w:ascii="Calibri" w:cs="Calibri" w:eastAsia="Calibri" w:hAnsi="Calibri"/>
          <w:b/>
          <w:bCs/>
          <w:color w:val="1F4E79"/>
          <w:sz w:val="26"/>
          <w:szCs w:val="26"/>
        </w:rPr>
        <w:t xml:space="preserve">Call Brand2Builds: 305.777.2139</w:t>
      </w:r>
    </w:p>
    <w:p>
      <w:pPr>
        <w:spacing w:after="160" w:line="300"/>
      </w:pPr>
      <w:r>
        <w:rPr>
          <w:rFonts w:ascii="Calibri" w:cs="Calibri" w:eastAsia="Calibri" w:hAnsi="Calibri"/>
          <w:b/>
          <w:bCs/>
          <w:color w:val="1F4E79"/>
          <w:sz w:val="26"/>
          <w:szCs w:val="26"/>
        </w:rPr>
        <w:t xml:space="preserve">Visit: www.brand2builds.com</w:t>
      </w:r>
    </w:p>
    <w:p>
      <w:pPr>
        <w:pageBreakBefore/>
        <w:spacing w:after="200"/>
      </w:pPr>
      <w:r>
        <w:rPr>
          <w:rFonts w:ascii="Calibri" w:cs="Calibri" w:eastAsia="Calibri" w:hAnsi="Calibri"/>
          <w:b/>
          <w:bCs/>
          <w:color w:val="1F4E79"/>
          <w:sz w:val="36"/>
          <w:szCs w:val="36"/>
        </w:rPr>
        <w:t xml:space="preserve">SEO Package</w:t>
      </w:r>
    </w:p>
    <w:p>
      <w:pPr>
        <w:pStyle w:val="Heading3"/>
        <w:spacing w:after="90" w:before="220"/>
      </w:pPr>
      <w:r>
        <w:rPr>
          <w:rFonts w:ascii="Calibri" w:cs="Calibri" w:eastAsia="Calibri" w:hAnsi="Calibri"/>
          <w:b/>
          <w:bCs/>
          <w:color w:val="E8772E"/>
          <w:sz w:val="25"/>
          <w:szCs w:val="25"/>
        </w:rPr>
        <w:t xml:space="preserve">Page details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c>
          <w:tcPr>
            <w:tcW w:type="dxa" w:w="2600"/>
            <w:tcBorders>
              <w:top w:val="single" w:color="BFBFBF" w:sz="4"/>
              <w:left w:val="single" w:color="BFBFBF" w:sz="4"/>
              <w:bottom w:val="single" w:color="BFBFBF" w:sz="4"/>
              <w:right w:val="single" w:color="BFBFBF" w:sz="4"/>
            </w:tcBorders>
            <w:shd w:fill="1F4E79" w:color="auto" w:val="clear"/>
            <w:tcMar>
              <w:top w:type="dxa" w:w="80"/>
              <w:left w:type="dxa" w:w="120"/>
              <w:bottom w:type="dxa" w:w="80"/>
              <w:right w:type="dxa" w:w="120"/>
            </w:tcMar>
          </w:tcPr>
          <w:p>
            <w:r>
              <w:rPr>
                <w:rFonts w:ascii="Calibri" w:cs="Calibri" w:eastAsia="Calibri" w:hAnsi="Calibri"/>
                <w:b/>
                <w:bCs/>
                <w:color w:val="FFFFFF"/>
              </w:rPr>
              <w:t xml:space="preserve">Field</w:t>
            </w:r>
          </w:p>
        </w:tc>
        <w:tc>
          <w:tcPr>
            <w:tcW w:type="dxa" w:w="6760"/>
            <w:tcBorders>
              <w:top w:val="single" w:color="BFBFBF" w:sz="4"/>
              <w:left w:val="single" w:color="BFBFBF" w:sz="4"/>
              <w:bottom w:val="single" w:color="BFBFBF" w:sz="4"/>
              <w:right w:val="single" w:color="BFBFBF" w:sz="4"/>
            </w:tcBorders>
            <w:shd w:fill="1F4E79" w:color="auto" w:val="clear"/>
            <w:tcMar>
              <w:top w:type="dxa" w:w="80"/>
              <w:left w:type="dxa" w:w="120"/>
              <w:bottom w:type="dxa" w:w="80"/>
              <w:right w:type="dxa" w:w="120"/>
            </w:tcMar>
          </w:tcPr>
          <w:p>
            <w:r>
              <w:rPr>
                <w:rFonts w:ascii="Calibri" w:cs="Calibri" w:eastAsia="Calibri" w:hAnsi="Calibri"/>
                <w:b/>
                <w:bCs/>
                <w:color w:val="FFFFFF"/>
              </w:rPr>
              <w:t xml:space="preserve">Value</w:t>
            </w:r>
          </w:p>
        </w:tc>
      </w:tr>
      <w:tr>
        <w:tc>
          <w:tcPr>
            <w:tcW w:type="dxa" w:w="2600"/>
            <w:tcBorders>
              <w:top w:val="single" w:color="BFBFBF" w:sz="4"/>
              <w:left w:val="single" w:color="BFBFBF" w:sz="4"/>
              <w:bottom w:val="single" w:color="BFBFBF" w:sz="4"/>
              <w:right w:val="single" w:color="BFBFBF" w:sz="4"/>
            </w:tcBorders>
            <w:shd w:fill="EEF3F8" w:color="auto" w:val="clear"/>
            <w:tcMar>
              <w:top w:type="dxa" w:w="80"/>
              <w:left w:type="dxa" w:w="120"/>
              <w:bottom w:type="dxa" w:w="80"/>
              <w:right w:type="dxa" w:w="120"/>
            </w:tcMar>
          </w:tcPr>
          <w:p>
            <w:r>
              <w:rPr>
                <w:rFonts w:ascii="Calibri" w:cs="Calibri" w:eastAsia="Calibri" w:hAnsi="Calibri"/>
              </w:rPr>
              <w:t xml:space="preserve">SEO title (60 chars max)</w:t>
            </w:r>
          </w:p>
        </w:tc>
        <w:tc>
          <w:tcPr>
            <w:tcW w:type="dxa" w:w="6760"/>
            <w:tcBorders>
              <w:top w:val="single" w:color="BFBFBF" w:sz="4"/>
              <w:left w:val="single" w:color="BFBFBF" w:sz="4"/>
              <w:bottom w:val="single" w:color="BFBFBF" w:sz="4"/>
              <w:right w:val="single" w:color="BFBFBF" w:sz="4"/>
            </w:tcBorders>
            <w:tcMar>
              <w:top w:type="dxa" w:w="80"/>
              <w:left w:type="dxa" w:w="120"/>
              <w:bottom w:type="dxa" w:w="80"/>
              <w:right w:type="dxa" w:w="120"/>
            </w:tcMar>
          </w:tcPr>
          <w:p>
            <w:r>
              <w:rPr>
                <w:rFonts w:ascii="Calibri" w:cs="Calibri" w:eastAsia="Calibri" w:hAnsi="Calibri"/>
              </w:rPr>
              <w:t xml:space="preserve">Tenant Improvement Construction for Franchise Brands</w:t>
            </w:r>
          </w:p>
        </w:tc>
      </w:tr>
      <w:tr>
        <w:tc>
          <w:tcPr>
            <w:tcW w:type="dxa" w:w="2600"/>
            <w:tcBorders>
              <w:top w:val="single" w:color="BFBFBF" w:sz="4"/>
              <w:left w:val="single" w:color="BFBFBF" w:sz="4"/>
              <w:bottom w:val="single" w:color="BFBFBF" w:sz="4"/>
              <w:right w:val="single" w:color="BFBFBF" w:sz="4"/>
            </w:tcBorders>
            <w:shd w:fill="EEF3F8" w:color="auto" w:val="clear"/>
            <w:tcMar>
              <w:top w:type="dxa" w:w="80"/>
              <w:left w:type="dxa" w:w="120"/>
              <w:bottom w:type="dxa" w:w="80"/>
              <w:right w:type="dxa" w:w="120"/>
            </w:tcMar>
          </w:tcPr>
          <w:p>
            <w:r>
              <w:rPr>
                <w:rFonts w:ascii="Calibri" w:cs="Calibri" w:eastAsia="Calibri" w:hAnsi="Calibri"/>
              </w:rPr>
              <w:t xml:space="preserve">Meta description</w:t>
            </w:r>
          </w:p>
        </w:tc>
        <w:tc>
          <w:tcPr>
            <w:tcW w:type="dxa" w:w="6760"/>
            <w:tcBorders>
              <w:top w:val="single" w:color="BFBFBF" w:sz="4"/>
              <w:left w:val="single" w:color="BFBFBF" w:sz="4"/>
              <w:bottom w:val="single" w:color="BFBFBF" w:sz="4"/>
              <w:right w:val="single" w:color="BFBFBF" w:sz="4"/>
            </w:tcBorders>
            <w:tcMar>
              <w:top w:type="dxa" w:w="80"/>
              <w:left w:type="dxa" w:w="120"/>
              <w:bottom w:type="dxa" w:w="80"/>
              <w:right w:type="dxa" w:w="120"/>
            </w:tcMar>
          </w:tcPr>
          <w:p>
            <w:r>
              <w:rPr>
                <w:rFonts w:ascii="Calibri" w:cs="Calibri" w:eastAsia="Calibri" w:hAnsi="Calibri"/>
              </w:rPr>
              <w:t xml:space="preserve">How TI allowances are calculated, what costs qualify, and how early drawings help franchise brands negotiate better leases across a portfolio. (142 chars)</w:t>
            </w:r>
          </w:p>
        </w:tc>
      </w:tr>
      <w:tr>
        <w:tc>
          <w:tcPr>
            <w:tcW w:type="dxa" w:w="2600"/>
            <w:tcBorders>
              <w:top w:val="single" w:color="BFBFBF" w:sz="4"/>
              <w:left w:val="single" w:color="BFBFBF" w:sz="4"/>
              <w:bottom w:val="single" w:color="BFBFBF" w:sz="4"/>
              <w:right w:val="single" w:color="BFBFBF" w:sz="4"/>
            </w:tcBorders>
            <w:shd w:fill="EEF3F8" w:color="auto" w:val="clear"/>
            <w:tcMar>
              <w:top w:type="dxa" w:w="80"/>
              <w:left w:type="dxa" w:w="120"/>
              <w:bottom w:type="dxa" w:w="80"/>
              <w:right w:type="dxa" w:w="120"/>
            </w:tcMar>
          </w:tcPr>
          <w:p>
            <w:r>
              <w:rPr>
                <w:rFonts w:ascii="Calibri" w:cs="Calibri" w:eastAsia="Calibri" w:hAnsi="Calibri"/>
              </w:rPr>
              <w:t xml:space="preserve">Slug</w:t>
            </w:r>
          </w:p>
        </w:tc>
        <w:tc>
          <w:tcPr>
            <w:tcW w:type="dxa" w:w="6760"/>
            <w:tcBorders>
              <w:top w:val="single" w:color="BFBFBF" w:sz="4"/>
              <w:left w:val="single" w:color="BFBFBF" w:sz="4"/>
              <w:bottom w:val="single" w:color="BFBFBF" w:sz="4"/>
              <w:right w:val="single" w:color="BFBFBF" w:sz="4"/>
            </w:tcBorders>
            <w:tcMar>
              <w:top w:type="dxa" w:w="80"/>
              <w:left w:type="dxa" w:w="120"/>
              <w:bottom w:type="dxa" w:w="80"/>
              <w:right w:type="dxa" w:w="120"/>
            </w:tcMar>
          </w:tcPr>
          <w:p>
            <w:r>
              <w:rPr>
                <w:rFonts w:ascii="Calibri" w:cs="Calibri" w:eastAsia="Calibri" w:hAnsi="Calibri"/>
              </w:rPr>
              <w:t xml:space="preserve">/blog/tenant-improvement-construction-franchise</w:t>
            </w:r>
          </w:p>
        </w:tc>
      </w:tr>
      <w:tr>
        <w:tc>
          <w:tcPr>
            <w:tcW w:type="dxa" w:w="2600"/>
            <w:tcBorders>
              <w:top w:val="single" w:color="BFBFBF" w:sz="4"/>
              <w:left w:val="single" w:color="BFBFBF" w:sz="4"/>
              <w:bottom w:val="single" w:color="BFBFBF" w:sz="4"/>
              <w:right w:val="single" w:color="BFBFBF" w:sz="4"/>
            </w:tcBorders>
            <w:shd w:fill="EEF3F8" w:color="auto" w:val="clear"/>
            <w:tcMar>
              <w:top w:type="dxa" w:w="80"/>
              <w:left w:type="dxa" w:w="120"/>
              <w:bottom w:type="dxa" w:w="80"/>
              <w:right w:type="dxa" w:w="120"/>
            </w:tcMar>
          </w:tcPr>
          <w:p>
            <w:r>
              <w:rPr>
                <w:rFonts w:ascii="Calibri" w:cs="Calibri" w:eastAsia="Calibri" w:hAnsi="Calibri"/>
              </w:rPr>
              <w:t xml:space="preserve">Article word count</w:t>
            </w:r>
          </w:p>
        </w:tc>
        <w:tc>
          <w:tcPr>
            <w:tcW w:type="dxa" w:w="6760"/>
            <w:tcBorders>
              <w:top w:val="single" w:color="BFBFBF" w:sz="4"/>
              <w:left w:val="single" w:color="BFBFBF" w:sz="4"/>
              <w:bottom w:val="single" w:color="BFBFBF" w:sz="4"/>
              <w:right w:val="single" w:color="BFBFBF" w:sz="4"/>
            </w:tcBorders>
            <w:tcMar>
              <w:top w:type="dxa" w:w="80"/>
              <w:left w:type="dxa" w:w="120"/>
              <w:bottom w:type="dxa" w:w="80"/>
              <w:right w:type="dxa" w:w="120"/>
            </w:tcMar>
          </w:tcPr>
          <w:p>
            <w:r>
              <w:rPr>
                <w:rFonts w:ascii="Calibri" w:cs="Calibri" w:eastAsia="Calibri" w:hAnsi="Calibri"/>
              </w:rPr>
              <w:t xml:space="preserve">1513 words</w:t>
            </w:r>
          </w:p>
        </w:tc>
      </w:tr>
      <w:tr>
        <w:tc>
          <w:tcPr>
            <w:tcW w:type="dxa" w:w="2600"/>
            <w:tcBorders>
              <w:top w:val="single" w:color="BFBFBF" w:sz="4"/>
              <w:left w:val="single" w:color="BFBFBF" w:sz="4"/>
              <w:bottom w:val="single" w:color="BFBFBF" w:sz="4"/>
              <w:right w:val="single" w:color="BFBFBF" w:sz="4"/>
            </w:tcBorders>
            <w:shd w:fill="EEF3F8" w:color="auto" w:val="clear"/>
            <w:tcMar>
              <w:top w:type="dxa" w:w="80"/>
              <w:left w:type="dxa" w:w="120"/>
              <w:bottom w:type="dxa" w:w="80"/>
              <w:right w:type="dxa" w:w="120"/>
            </w:tcMar>
          </w:tcPr>
          <w:p>
            <w:r>
              <w:rPr>
                <w:rFonts w:ascii="Calibri" w:cs="Calibri" w:eastAsia="Calibri" w:hAnsi="Calibri"/>
              </w:rPr>
              <w:t xml:space="preserve">Cluster role</w:t>
            </w:r>
          </w:p>
        </w:tc>
        <w:tc>
          <w:tcPr>
            <w:tcW w:type="dxa" w:w="6760"/>
            <w:tcBorders>
              <w:top w:val="single" w:color="BFBFBF" w:sz="4"/>
              <w:left w:val="single" w:color="BFBFBF" w:sz="4"/>
              <w:bottom w:val="single" w:color="BFBFBF" w:sz="4"/>
              <w:right w:val="single" w:color="BFBFBF" w:sz="4"/>
            </w:tcBorders>
            <w:tcMar>
              <w:top w:type="dxa" w:w="80"/>
              <w:left w:type="dxa" w:w="120"/>
              <w:bottom w:type="dxa" w:w="80"/>
              <w:right w:type="dxa" w:w="120"/>
            </w:tcMar>
          </w:tcPr>
          <w:p>
            <w:r>
              <w:rPr>
                <w:rFonts w:ascii="Calibri" w:cs="Calibri" w:eastAsia="Calibri" w:hAnsi="Calibri"/>
              </w:rPr>
              <w:t xml:space="preserve">Spoke 1 (lease stage, publish week 2); links to the build-out cost article and the hub</w:t>
            </w:r>
          </w:p>
        </w:tc>
      </w:tr>
    </w:tbl>
    <w:p>
      <w:pPr>
        <w:pStyle w:val="Heading3"/>
        <w:spacing w:after="90" w:before="220"/>
      </w:pPr>
      <w:r>
        <w:rPr>
          <w:rFonts w:ascii="Calibri" w:cs="Calibri" w:eastAsia="Calibri" w:hAnsi="Calibri"/>
          <w:b/>
          <w:bCs/>
          <w:color w:val="E8772E"/>
          <w:sz w:val="25"/>
          <w:szCs w:val="25"/>
        </w:rPr>
        <w:t xml:space="preserve">Recommended keywords (the 10 used in the article)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200"/>
        <w:gridCol w:w="5160"/>
      </w:tblGrid>
      <w:tr>
        <w:tc>
          <w:tcPr>
            <w:tcW w:type="dxa" w:w="4200"/>
            <w:tcBorders>
              <w:top w:val="single" w:color="BFBFBF" w:sz="4"/>
              <w:left w:val="single" w:color="BFBFBF" w:sz="4"/>
              <w:bottom w:val="single" w:color="BFBFBF" w:sz="4"/>
              <w:right w:val="single" w:color="BFBFBF" w:sz="4"/>
            </w:tcBorders>
            <w:shd w:fill="1F4E79" w:color="auto" w:val="clear"/>
            <w:tcMar>
              <w:top w:type="dxa" w:w="80"/>
              <w:left w:type="dxa" w:w="120"/>
              <w:bottom w:type="dxa" w:w="80"/>
              <w:right w:type="dxa" w:w="120"/>
            </w:tcMar>
          </w:tcPr>
          <w:p>
            <w:r>
              <w:rPr>
                <w:rFonts w:ascii="Calibri" w:cs="Calibri" w:eastAsia="Calibri" w:hAnsi="Calibri"/>
                <w:b/>
                <w:bCs/>
                <w:color w:val="FFFFFF"/>
              </w:rPr>
              <w:t xml:space="preserve">Keyword</w:t>
            </w:r>
          </w:p>
        </w:tc>
        <w:tc>
          <w:tcPr>
            <w:tcW w:type="dxa" w:w="5160"/>
            <w:tcBorders>
              <w:top w:val="single" w:color="BFBFBF" w:sz="4"/>
              <w:left w:val="single" w:color="BFBFBF" w:sz="4"/>
              <w:bottom w:val="single" w:color="BFBFBF" w:sz="4"/>
              <w:right w:val="single" w:color="BFBFBF" w:sz="4"/>
            </w:tcBorders>
            <w:shd w:fill="1F4E79" w:color="auto" w:val="clear"/>
            <w:tcMar>
              <w:top w:type="dxa" w:w="80"/>
              <w:left w:type="dxa" w:w="120"/>
              <w:bottom w:type="dxa" w:w="80"/>
              <w:right w:type="dxa" w:w="120"/>
            </w:tcMar>
          </w:tcPr>
          <w:p>
            <w:r>
              <w:rPr>
                <w:rFonts w:ascii="Calibri" w:cs="Calibri" w:eastAsia="Calibri" w:hAnsi="Calibri"/>
                <w:b/>
                <w:bCs/>
                <w:color w:val="FFFFFF"/>
              </w:rPr>
              <w:t xml:space="preserve">Where it appears</w:t>
            </w:r>
          </w:p>
        </w:tc>
      </w:tr>
      <w:tr>
        <w:tc>
          <w:tcPr>
            <w:tcW w:type="dxa" w:w="4200"/>
            <w:tcBorders>
              <w:top w:val="single" w:color="BFBFBF" w:sz="4"/>
              <w:left w:val="single" w:color="BFBFBF" w:sz="4"/>
              <w:bottom w:val="single" w:color="BFBFBF" w:sz="4"/>
              <w:right w:val="single" w:color="BFBFBF" w:sz="4"/>
            </w:tcBorders>
            <w:shd w:fill="EEF3F8" w:color="auto" w:val="clear"/>
            <w:tcMar>
              <w:top w:type="dxa" w:w="80"/>
              <w:left w:type="dxa" w:w="120"/>
              <w:bottom w:type="dxa" w:w="80"/>
              <w:right w:type="dxa" w:w="120"/>
            </w:tcMar>
          </w:tcPr>
          <w:p>
            <w:r>
              <w:rPr>
                <w:rFonts w:ascii="Calibri" w:cs="Calibri" w:eastAsia="Calibri" w:hAnsi="Calibri"/>
              </w:rPr>
              <w:t xml:space="preserve">tenant improvement construction</w:t>
            </w:r>
          </w:p>
        </w:tc>
        <w:tc>
          <w:tcPr>
            <w:tcW w:type="dxa" w:w="5160"/>
            <w:tcBorders>
              <w:top w:val="single" w:color="BFBFBF" w:sz="4"/>
              <w:left w:val="single" w:color="BFBFBF" w:sz="4"/>
              <w:bottom w:val="single" w:color="BFBFBF" w:sz="4"/>
              <w:right w:val="single" w:color="BFBFBF" w:sz="4"/>
            </w:tcBorders>
            <w:tcMar>
              <w:top w:type="dxa" w:w="80"/>
              <w:left w:type="dxa" w:w="120"/>
              <w:bottom w:type="dxa" w:w="80"/>
              <w:right w:type="dxa" w:w="120"/>
            </w:tcMar>
          </w:tcPr>
          <w:p>
            <w:r>
              <w:rPr>
                <w:rFonts w:ascii="Calibri" w:cs="Calibri" w:eastAsia="Calibri" w:hAnsi="Calibri"/>
              </w:rPr>
              <w:t xml:space="preserve">H1 variant, intro definition</w:t>
            </w:r>
          </w:p>
        </w:tc>
      </w:tr>
      <w:tr>
        <w:tc>
          <w:tcPr>
            <w:tcW w:type="dxa" w:w="4200"/>
            <w:tcBorders>
              <w:top w:val="single" w:color="BFBFBF" w:sz="4"/>
              <w:left w:val="single" w:color="BFBFBF" w:sz="4"/>
              <w:bottom w:val="single" w:color="BFBFBF" w:sz="4"/>
              <w:right w:val="single" w:color="BFBFBF" w:sz="4"/>
            </w:tcBorders>
            <w:shd w:fill="EEF3F8" w:color="auto" w:val="clear"/>
            <w:tcMar>
              <w:top w:type="dxa" w:w="80"/>
              <w:left w:type="dxa" w:w="120"/>
              <w:bottom w:type="dxa" w:w="80"/>
              <w:right w:type="dxa" w:w="120"/>
            </w:tcMar>
          </w:tcPr>
          <w:p>
            <w:r>
              <w:rPr>
                <w:rFonts w:ascii="Calibri" w:cs="Calibri" w:eastAsia="Calibri" w:hAnsi="Calibri"/>
              </w:rPr>
              <w:t xml:space="preserve">TI allowance</w:t>
            </w:r>
          </w:p>
        </w:tc>
        <w:tc>
          <w:tcPr>
            <w:tcW w:type="dxa" w:w="5160"/>
            <w:tcBorders>
              <w:top w:val="single" w:color="BFBFBF" w:sz="4"/>
              <w:left w:val="single" w:color="BFBFBF" w:sz="4"/>
              <w:bottom w:val="single" w:color="BFBFBF" w:sz="4"/>
              <w:right w:val="single" w:color="BFBFBF" w:sz="4"/>
            </w:tcBorders>
            <w:tcMar>
              <w:top w:type="dxa" w:w="80"/>
              <w:left w:type="dxa" w:w="120"/>
              <w:bottom w:type="dxa" w:w="80"/>
              <w:right w:type="dxa" w:w="120"/>
            </w:tcMar>
          </w:tcPr>
          <w:p>
            <w:r>
              <w:rPr>
                <w:rFonts w:ascii="Calibri" w:cs="Calibri" w:eastAsia="Calibri" w:hAnsi="Calibri"/>
              </w:rPr>
              <w:t xml:space="preserve">Intro, Mistakes 1 to 5</w:t>
            </w:r>
          </w:p>
        </w:tc>
      </w:tr>
      <w:tr>
        <w:tc>
          <w:tcPr>
            <w:tcW w:type="dxa" w:w="4200"/>
            <w:tcBorders>
              <w:top w:val="single" w:color="BFBFBF" w:sz="4"/>
              <w:left w:val="single" w:color="BFBFBF" w:sz="4"/>
              <w:bottom w:val="single" w:color="BFBFBF" w:sz="4"/>
              <w:right w:val="single" w:color="BFBFBF" w:sz="4"/>
            </w:tcBorders>
            <w:shd w:fill="EEF3F8" w:color="auto" w:val="clear"/>
            <w:tcMar>
              <w:top w:type="dxa" w:w="80"/>
              <w:left w:type="dxa" w:w="120"/>
              <w:bottom w:type="dxa" w:w="80"/>
              <w:right w:type="dxa" w:w="120"/>
            </w:tcMar>
          </w:tcPr>
          <w:p>
            <w:r>
              <w:rPr>
                <w:rFonts w:ascii="Calibri" w:cs="Calibri" w:eastAsia="Calibri" w:hAnsi="Calibri"/>
              </w:rPr>
              <w:t xml:space="preserve">TI allowance for restaurant franchises</w:t>
            </w:r>
          </w:p>
        </w:tc>
        <w:tc>
          <w:tcPr>
            <w:tcW w:type="dxa" w:w="5160"/>
            <w:tcBorders>
              <w:top w:val="single" w:color="BFBFBF" w:sz="4"/>
              <w:left w:val="single" w:color="BFBFBF" w:sz="4"/>
              <w:bottom w:val="single" w:color="BFBFBF" w:sz="4"/>
              <w:right w:val="single" w:color="BFBFBF" w:sz="4"/>
            </w:tcBorders>
            <w:tcMar>
              <w:top w:type="dxa" w:w="80"/>
              <w:left w:type="dxa" w:w="120"/>
              <w:bottom w:type="dxa" w:w="80"/>
              <w:right w:type="dxa" w:w="120"/>
            </w:tcMar>
          </w:tcPr>
          <w:p>
            <w:r>
              <w:rPr>
                <w:rFonts w:ascii="Calibri" w:cs="Calibri" w:eastAsia="Calibri" w:hAnsi="Calibri"/>
              </w:rPr>
              <w:t xml:space="preserve">Takeaway, FAQ 1</w:t>
            </w:r>
          </w:p>
        </w:tc>
      </w:tr>
      <w:tr>
        <w:tc>
          <w:tcPr>
            <w:tcW w:type="dxa" w:w="4200"/>
            <w:tcBorders>
              <w:top w:val="single" w:color="BFBFBF" w:sz="4"/>
              <w:left w:val="single" w:color="BFBFBF" w:sz="4"/>
              <w:bottom w:val="single" w:color="BFBFBF" w:sz="4"/>
              <w:right w:val="single" w:color="BFBFBF" w:sz="4"/>
            </w:tcBorders>
            <w:shd w:fill="EEF3F8" w:color="auto" w:val="clear"/>
            <w:tcMar>
              <w:top w:type="dxa" w:w="80"/>
              <w:left w:type="dxa" w:w="120"/>
              <w:bottom w:type="dxa" w:w="80"/>
              <w:right w:type="dxa" w:w="120"/>
            </w:tcMar>
          </w:tcPr>
          <w:p>
            <w:r>
              <w:rPr>
                <w:rFonts w:ascii="Calibri" w:cs="Calibri" w:eastAsia="Calibri" w:hAnsi="Calibri"/>
              </w:rPr>
              <w:t xml:space="preserve">how to maximize tenant improvement allowance</w:t>
            </w:r>
          </w:p>
        </w:tc>
        <w:tc>
          <w:tcPr>
            <w:tcW w:type="dxa" w:w="5160"/>
            <w:tcBorders>
              <w:top w:val="single" w:color="BFBFBF" w:sz="4"/>
              <w:left w:val="single" w:color="BFBFBF" w:sz="4"/>
              <w:bottom w:val="single" w:color="BFBFBF" w:sz="4"/>
              <w:right w:val="single" w:color="BFBFBF" w:sz="4"/>
            </w:tcBorders>
            <w:tcMar>
              <w:top w:type="dxa" w:w="80"/>
              <w:left w:type="dxa" w:w="120"/>
              <w:bottom w:type="dxa" w:w="80"/>
              <w:right w:type="dxa" w:w="120"/>
            </w:tcMar>
          </w:tcPr>
          <w:p>
            <w:r>
              <w:rPr>
                <w:rFonts w:ascii="Calibri" w:cs="Calibri" w:eastAsia="Calibri" w:hAnsi="Calibri"/>
              </w:rPr>
              <w:t xml:space="preserve">Mistake 3, takeaway</w:t>
            </w:r>
          </w:p>
        </w:tc>
      </w:tr>
      <w:tr>
        <w:tc>
          <w:tcPr>
            <w:tcW w:type="dxa" w:w="4200"/>
            <w:tcBorders>
              <w:top w:val="single" w:color="BFBFBF" w:sz="4"/>
              <w:left w:val="single" w:color="BFBFBF" w:sz="4"/>
              <w:bottom w:val="single" w:color="BFBFBF" w:sz="4"/>
              <w:right w:val="single" w:color="BFBFBF" w:sz="4"/>
            </w:tcBorders>
            <w:shd w:fill="EEF3F8" w:color="auto" w:val="clear"/>
            <w:tcMar>
              <w:top w:type="dxa" w:w="80"/>
              <w:left w:type="dxa" w:w="120"/>
              <w:bottom w:type="dxa" w:w="80"/>
              <w:right w:type="dxa" w:w="120"/>
            </w:tcMar>
          </w:tcPr>
          <w:p>
            <w:r>
              <w:rPr>
                <w:rFonts w:ascii="Calibri" w:cs="Calibri" w:eastAsia="Calibri" w:hAnsi="Calibri"/>
              </w:rPr>
              <w:t xml:space="preserve">tenant improvement construction timeline</w:t>
            </w:r>
          </w:p>
        </w:tc>
        <w:tc>
          <w:tcPr>
            <w:tcW w:type="dxa" w:w="5160"/>
            <w:tcBorders>
              <w:top w:val="single" w:color="BFBFBF" w:sz="4"/>
              <w:left w:val="single" w:color="BFBFBF" w:sz="4"/>
              <w:bottom w:val="single" w:color="BFBFBF" w:sz="4"/>
              <w:right w:val="single" w:color="BFBFBF" w:sz="4"/>
            </w:tcBorders>
            <w:tcMar>
              <w:top w:type="dxa" w:w="80"/>
              <w:left w:type="dxa" w:w="120"/>
              <w:bottom w:type="dxa" w:w="80"/>
              <w:right w:type="dxa" w:w="120"/>
            </w:tcMar>
          </w:tcPr>
          <w:p>
            <w:r>
              <w:rPr>
                <w:rFonts w:ascii="Calibri" w:cs="Calibri" w:eastAsia="Calibri" w:hAnsi="Calibri"/>
              </w:rPr>
              <w:t xml:space="preserve">Mistake 7, FAQ 2</w:t>
            </w:r>
          </w:p>
        </w:tc>
      </w:tr>
      <w:tr>
        <w:tc>
          <w:tcPr>
            <w:tcW w:type="dxa" w:w="4200"/>
            <w:tcBorders>
              <w:top w:val="single" w:color="BFBFBF" w:sz="4"/>
              <w:left w:val="single" w:color="BFBFBF" w:sz="4"/>
              <w:bottom w:val="single" w:color="BFBFBF" w:sz="4"/>
              <w:right w:val="single" w:color="BFBFBF" w:sz="4"/>
            </w:tcBorders>
            <w:shd w:fill="EEF3F8" w:color="auto" w:val="clear"/>
            <w:tcMar>
              <w:top w:type="dxa" w:w="80"/>
              <w:left w:type="dxa" w:w="120"/>
              <w:bottom w:type="dxa" w:w="80"/>
              <w:right w:type="dxa" w:w="120"/>
            </w:tcMar>
          </w:tcPr>
          <w:p>
            <w:r>
              <w:rPr>
                <w:rFonts w:ascii="Calibri" w:cs="Calibri" w:eastAsia="Calibri" w:hAnsi="Calibri"/>
              </w:rPr>
              <w:t xml:space="preserve">work letter</w:t>
            </w:r>
          </w:p>
        </w:tc>
        <w:tc>
          <w:tcPr>
            <w:tcW w:type="dxa" w:w="5160"/>
            <w:tcBorders>
              <w:top w:val="single" w:color="BFBFBF" w:sz="4"/>
              <w:left w:val="single" w:color="BFBFBF" w:sz="4"/>
              <w:bottom w:val="single" w:color="BFBFBF" w:sz="4"/>
              <w:right w:val="single" w:color="BFBFBF" w:sz="4"/>
            </w:tcBorders>
            <w:tcMar>
              <w:top w:type="dxa" w:w="80"/>
              <w:left w:type="dxa" w:w="120"/>
              <w:bottom w:type="dxa" w:w="80"/>
              <w:right w:type="dxa" w:w="120"/>
            </w:tcMar>
          </w:tcPr>
          <w:p>
            <w:r>
              <w:rPr>
                <w:rFonts w:ascii="Calibri" w:cs="Calibri" w:eastAsia="Calibri" w:hAnsi="Calibri"/>
              </w:rPr>
              <w:t xml:space="preserve">Mistake 6, Mistake 8</w:t>
            </w:r>
          </w:p>
        </w:tc>
      </w:tr>
      <w:tr>
        <w:tc>
          <w:tcPr>
            <w:tcW w:type="dxa" w:w="4200"/>
            <w:tcBorders>
              <w:top w:val="single" w:color="BFBFBF" w:sz="4"/>
              <w:left w:val="single" w:color="BFBFBF" w:sz="4"/>
              <w:bottom w:val="single" w:color="BFBFBF" w:sz="4"/>
              <w:right w:val="single" w:color="BFBFBF" w:sz="4"/>
            </w:tcBorders>
            <w:shd w:fill="EEF3F8" w:color="auto" w:val="clear"/>
            <w:tcMar>
              <w:top w:type="dxa" w:w="80"/>
              <w:left w:type="dxa" w:w="120"/>
              <w:bottom w:type="dxa" w:w="80"/>
              <w:right w:type="dxa" w:w="120"/>
            </w:tcMar>
          </w:tcPr>
          <w:p>
            <w:r>
              <w:rPr>
                <w:rFonts w:ascii="Calibri" w:cs="Calibri" w:eastAsia="Calibri" w:hAnsi="Calibri"/>
              </w:rPr>
              <w:t xml:space="preserve">test-fit</w:t>
            </w:r>
          </w:p>
        </w:tc>
        <w:tc>
          <w:tcPr>
            <w:tcW w:type="dxa" w:w="5160"/>
            <w:tcBorders>
              <w:top w:val="single" w:color="BFBFBF" w:sz="4"/>
              <w:left w:val="single" w:color="BFBFBF" w:sz="4"/>
              <w:bottom w:val="single" w:color="BFBFBF" w:sz="4"/>
              <w:right w:val="single" w:color="BFBFBF" w:sz="4"/>
            </w:tcBorders>
            <w:tcMar>
              <w:top w:type="dxa" w:w="80"/>
              <w:left w:type="dxa" w:w="120"/>
              <w:bottom w:type="dxa" w:w="80"/>
              <w:right w:type="dxa" w:w="120"/>
            </w:tcMar>
          </w:tcPr>
          <w:p>
            <w:r>
              <w:rPr>
                <w:rFonts w:ascii="Calibri" w:cs="Calibri" w:eastAsia="Calibri" w:hAnsi="Calibri"/>
              </w:rPr>
              <w:t xml:space="preserve">Mistake 3, CTA</w:t>
            </w:r>
          </w:p>
        </w:tc>
      </w:tr>
      <w:tr>
        <w:tc>
          <w:tcPr>
            <w:tcW w:type="dxa" w:w="4200"/>
            <w:tcBorders>
              <w:top w:val="single" w:color="BFBFBF" w:sz="4"/>
              <w:left w:val="single" w:color="BFBFBF" w:sz="4"/>
              <w:bottom w:val="single" w:color="BFBFBF" w:sz="4"/>
              <w:right w:val="single" w:color="BFBFBF" w:sz="4"/>
            </w:tcBorders>
            <w:shd w:fill="EEF3F8" w:color="auto" w:val="clear"/>
            <w:tcMar>
              <w:top w:type="dxa" w:w="80"/>
              <w:left w:type="dxa" w:w="120"/>
              <w:bottom w:type="dxa" w:w="80"/>
              <w:right w:type="dxa" w:w="120"/>
            </w:tcMar>
          </w:tcPr>
          <w:p>
            <w:r>
              <w:rPr>
                <w:rFonts w:ascii="Calibri" w:cs="Calibri" w:eastAsia="Calibri" w:hAnsi="Calibri"/>
              </w:rPr>
              <w:t xml:space="preserve">remodel cycle costs</w:t>
            </w:r>
          </w:p>
        </w:tc>
        <w:tc>
          <w:tcPr>
            <w:tcW w:type="dxa" w:w="5160"/>
            <w:tcBorders>
              <w:top w:val="single" w:color="BFBFBF" w:sz="4"/>
              <w:left w:val="single" w:color="BFBFBF" w:sz="4"/>
              <w:bottom w:val="single" w:color="BFBFBF" w:sz="4"/>
              <w:right w:val="single" w:color="BFBFBF" w:sz="4"/>
            </w:tcBorders>
            <w:tcMar>
              <w:top w:type="dxa" w:w="80"/>
              <w:left w:type="dxa" w:w="120"/>
              <w:bottom w:type="dxa" w:w="80"/>
              <w:right w:type="dxa" w:w="120"/>
            </w:tcMar>
          </w:tcPr>
          <w:p>
            <w:r>
              <w:rPr>
                <w:rFonts w:ascii="Calibri" w:cs="Calibri" w:eastAsia="Calibri" w:hAnsi="Calibri"/>
              </w:rPr>
              <w:t xml:space="preserve">Mistake 9</w:t>
            </w:r>
          </w:p>
        </w:tc>
      </w:tr>
      <w:tr>
        <w:tc>
          <w:tcPr>
            <w:tcW w:type="dxa" w:w="4200"/>
            <w:tcBorders>
              <w:top w:val="single" w:color="BFBFBF" w:sz="4"/>
              <w:left w:val="single" w:color="BFBFBF" w:sz="4"/>
              <w:bottom w:val="single" w:color="BFBFBF" w:sz="4"/>
              <w:right w:val="single" w:color="BFBFBF" w:sz="4"/>
            </w:tcBorders>
            <w:shd w:fill="EEF3F8" w:color="auto" w:val="clear"/>
            <w:tcMar>
              <w:top w:type="dxa" w:w="80"/>
              <w:left w:type="dxa" w:w="120"/>
              <w:bottom w:type="dxa" w:w="80"/>
              <w:right w:type="dxa" w:w="120"/>
            </w:tcMar>
          </w:tcPr>
          <w:p>
            <w:r>
              <w:rPr>
                <w:rFonts w:ascii="Calibri" w:cs="Calibri" w:eastAsia="Calibri" w:hAnsi="Calibri"/>
              </w:rPr>
              <w:t xml:space="preserve">rentable square foot</w:t>
            </w:r>
          </w:p>
        </w:tc>
        <w:tc>
          <w:tcPr>
            <w:tcW w:type="dxa" w:w="5160"/>
            <w:tcBorders>
              <w:top w:val="single" w:color="BFBFBF" w:sz="4"/>
              <w:left w:val="single" w:color="BFBFBF" w:sz="4"/>
              <w:bottom w:val="single" w:color="BFBFBF" w:sz="4"/>
              <w:right w:val="single" w:color="BFBFBF" w:sz="4"/>
            </w:tcBorders>
            <w:tcMar>
              <w:top w:type="dxa" w:w="80"/>
              <w:left w:type="dxa" w:w="120"/>
              <w:bottom w:type="dxa" w:w="80"/>
              <w:right w:type="dxa" w:w="120"/>
            </w:tcMar>
          </w:tcPr>
          <w:p>
            <w:r>
              <w:rPr>
                <w:rFonts w:ascii="Calibri" w:cs="Calibri" w:eastAsia="Calibri" w:hAnsi="Calibri"/>
              </w:rPr>
              <w:t xml:space="preserve">Mistake 1</w:t>
            </w:r>
          </w:p>
        </w:tc>
      </w:tr>
      <w:tr>
        <w:tc>
          <w:tcPr>
            <w:tcW w:type="dxa" w:w="4200"/>
            <w:tcBorders>
              <w:top w:val="single" w:color="BFBFBF" w:sz="4"/>
              <w:left w:val="single" w:color="BFBFBF" w:sz="4"/>
              <w:bottom w:val="single" w:color="BFBFBF" w:sz="4"/>
              <w:right w:val="single" w:color="BFBFBF" w:sz="4"/>
            </w:tcBorders>
            <w:shd w:fill="EEF3F8" w:color="auto" w:val="clear"/>
            <w:tcMar>
              <w:top w:type="dxa" w:w="80"/>
              <w:left w:type="dxa" w:w="120"/>
              <w:bottom w:type="dxa" w:w="80"/>
              <w:right w:type="dxa" w:w="120"/>
            </w:tcMar>
          </w:tcPr>
          <w:p>
            <w:r>
              <w:rPr>
                <w:rFonts w:ascii="Calibri" w:cs="Calibri" w:eastAsia="Calibri" w:hAnsi="Calibri"/>
              </w:rPr>
              <w:t xml:space="preserve">landlord vs tenant managed construction</w:t>
            </w:r>
          </w:p>
        </w:tc>
        <w:tc>
          <w:tcPr>
            <w:tcW w:type="dxa" w:w="5160"/>
            <w:tcBorders>
              <w:top w:val="single" w:color="BFBFBF" w:sz="4"/>
              <w:left w:val="single" w:color="BFBFBF" w:sz="4"/>
              <w:bottom w:val="single" w:color="BFBFBF" w:sz="4"/>
              <w:right w:val="single" w:color="BFBFBF" w:sz="4"/>
            </w:tcBorders>
            <w:tcMar>
              <w:top w:type="dxa" w:w="80"/>
              <w:left w:type="dxa" w:w="120"/>
              <w:bottom w:type="dxa" w:w="80"/>
              <w:right w:type="dxa" w:w="120"/>
            </w:tcMar>
          </w:tcPr>
          <w:p>
            <w:r>
              <w:rPr>
                <w:rFonts w:ascii="Calibri" w:cs="Calibri" w:eastAsia="Calibri" w:hAnsi="Calibri"/>
              </w:rPr>
              <w:t xml:space="preserve">Mistake 10, FAQ 3</w:t>
            </w:r>
          </w:p>
        </w:tc>
      </w:tr>
    </w:tbl>
    <w:p>
      <w:pPr>
        <w:spacing w:after="160" w:line="300"/>
      </w:pPr>
    </w:p>
    <w:p>
      <w:pPr>
        <w:spacing w:after="160" w:line="300"/>
      </w:pPr>
      <w:r>
        <w:rPr>
          <w:rFonts w:ascii="Calibri" w:cs="Calibri" w:eastAsia="Calibri" w:hAnsi="Calibri"/>
          <w:b/>
          <w:bCs/>
        </w:rPr>
        <w:t xml:space="preserve">Supporting long-tail terms:</w:t>
      </w:r>
      <w:r>
        <w:rPr>
          <w:rFonts w:ascii="Calibri" w:cs="Calibri" w:eastAsia="Calibri" w:hAnsi="Calibri"/>
        </w:rPr>
        <w:t xml:space="preserve"> how is a TI allowance calculated, what does a TI allowance cover, is TI paid upfront or reimbursed, when should drawings be ready in lease negotiation, how do remodel requirements affect TI.</w:t>
      </w:r>
    </w:p>
    <w:p>
      <w:pPr>
        <w:pStyle w:val="Heading3"/>
        <w:spacing w:after="90" w:before="220"/>
      </w:pPr>
      <w:r>
        <w:rPr>
          <w:rFonts w:ascii="Calibri" w:cs="Calibri" w:eastAsia="Calibri" w:hAnsi="Calibri"/>
          <w:b/>
          <w:bCs/>
          <w:color w:val="E8772E"/>
          <w:sz w:val="25"/>
          <w:szCs w:val="25"/>
        </w:rPr>
        <w:t xml:space="preserve">Schema markup (JSON-LD: Article + FAQPage)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shd w:fill="F4F4F4" w:color="auto" w:val="clear"/>
            <w:tcMar>
              <w:top w:type="dxa" w:w="120"/>
              <w:left w:type="dxa" w:w="160"/>
              <w:bottom w:type="dxa" w:w="120"/>
              <w:right w:type="dxa" w:w="160"/>
            </w:tcMar>
          </w:tcPr>
          <w:p>
            <w:pPr>
              <w:spacing w:after="0"/>
            </w:pPr>
            <w:r>
              <w:rPr>
                <w:rFonts w:ascii="Consolas" w:cs="Consolas" w:eastAsia="Consolas" w:hAnsi="Consolas"/>
                <w:sz w:val="18"/>
                <w:szCs w:val="18"/>
              </w:rPr>
              <w:t xml:space="preserve">&lt;script type="application/ld+json"&gt;</w:t>
            </w:r>
          </w:p>
          <w:p>
            <w:pPr>
              <w:spacing w:after="0"/>
            </w:pPr>
            <w:r>
              <w:rPr>
                <w:rFonts w:ascii="Consolas" w:cs="Consolas" w:eastAsia="Consolas" w:hAnsi="Consolas"/>
                <w:sz w:val="18"/>
                <w:szCs w:val="18"/>
              </w:rPr>
              <w:t xml:space="preserve">{</w:t>
            </w:r>
          </w:p>
          <w:p>
            <w:pPr>
              <w:spacing w:after="0"/>
            </w:pPr>
            <w:r>
              <w:rPr>
                <w:rFonts w:ascii="Consolas" w:cs="Consolas" w:eastAsia="Consolas" w:hAnsi="Consolas"/>
                <w:sz w:val="18"/>
                <w:szCs w:val="18"/>
              </w:rPr>
              <w:t xml:space="preserve">  "@context": "https://schema.org",</w:t>
            </w:r>
          </w:p>
          <w:p>
            <w:pPr>
              <w:spacing w:after="0"/>
            </w:pPr>
            <w:r>
              <w:rPr>
                <w:rFonts w:ascii="Consolas" w:cs="Consolas" w:eastAsia="Consolas" w:hAnsi="Consolas"/>
                <w:sz w:val="18"/>
                <w:szCs w:val="18"/>
              </w:rPr>
              <w:t xml:space="preserve">  "@graph": [</w:t>
            </w:r>
          </w:p>
          <w:p>
            <w:pPr>
              <w:spacing w:after="0"/>
            </w:pPr>
            <w:r>
              <w:rPr>
                <w:rFonts w:ascii="Consolas" w:cs="Consolas" w:eastAsia="Consolas" w:hAnsi="Consolas"/>
                <w:sz w:val="18"/>
                <w:szCs w:val="18"/>
              </w:rPr>
              <w:t xml:space="preserve">    {</w:t>
            </w:r>
          </w:p>
          <w:p>
            <w:pPr>
              <w:spacing w:after="0"/>
            </w:pPr>
            <w:r>
              <w:rPr>
                <w:rFonts w:ascii="Consolas" w:cs="Consolas" w:eastAsia="Consolas" w:hAnsi="Consolas"/>
                <w:sz w:val="18"/>
                <w:szCs w:val="18"/>
              </w:rPr>
              <w:t xml:space="preserve">      "@type": "Article",</w:t>
            </w:r>
          </w:p>
          <w:p>
            <w:pPr>
              <w:spacing w:after="0"/>
            </w:pPr>
            <w:r>
              <w:rPr>
                <w:rFonts w:ascii="Consolas" w:cs="Consolas" w:eastAsia="Consolas" w:hAnsi="Consolas"/>
                <w:sz w:val="18"/>
                <w:szCs w:val="18"/>
              </w:rPr>
              <w:t xml:space="preserve">      "headline": "Tenant Improvement Construction for Multi-Unit Brands: Allowances, Timelines, and Scope",</w:t>
            </w:r>
          </w:p>
          <w:p>
            <w:pPr>
              <w:spacing w:after="0"/>
            </w:pPr>
            <w:r>
              <w:rPr>
                <w:rFonts w:ascii="Consolas" w:cs="Consolas" w:eastAsia="Consolas" w:hAnsi="Consolas"/>
                <w:sz w:val="18"/>
                <w:szCs w:val="18"/>
              </w:rPr>
              <w:t xml:space="preserve">      "description": "How TI allowances are calculated, what costs qualify, and how early drawings help franchise brands negotiate better leases across a portfolio.",</w:t>
            </w:r>
          </w:p>
          <w:p>
            <w:pPr>
              <w:spacing w:after="0"/>
            </w:pPr>
            <w:r>
              <w:rPr>
                <w:rFonts w:ascii="Consolas" w:cs="Consolas" w:eastAsia="Consolas" w:hAnsi="Consolas"/>
                <w:sz w:val="18"/>
                <w:szCs w:val="18"/>
              </w:rPr>
              <w:t xml:space="preserve">      "image": "https://www.brand2builds.com/images/blog/tenant-improvement-construction-franchise.jpg",</w:t>
            </w:r>
          </w:p>
          <w:p>
            <w:pPr>
              <w:spacing w:after="0"/>
            </w:pPr>
            <w:r>
              <w:rPr>
                <w:rFonts w:ascii="Consolas" w:cs="Consolas" w:eastAsia="Consolas" w:hAnsi="Consolas"/>
                <w:sz w:val="18"/>
                <w:szCs w:val="18"/>
              </w:rPr>
              <w:t xml:space="preserve">      "datePublished": "2026-11-09",</w:t>
            </w:r>
          </w:p>
          <w:p>
            <w:pPr>
              <w:spacing w:after="0"/>
            </w:pPr>
            <w:r>
              <w:rPr>
                <w:rFonts w:ascii="Consolas" w:cs="Consolas" w:eastAsia="Consolas" w:hAnsi="Consolas"/>
                <w:sz w:val="18"/>
                <w:szCs w:val="18"/>
              </w:rPr>
              <w:t xml:space="preserve">      "dateModified": "2026-11-09",</w:t>
            </w:r>
          </w:p>
          <w:p>
            <w:pPr>
              <w:spacing w:after="0"/>
            </w:pPr>
            <w:r>
              <w:rPr>
                <w:rFonts w:ascii="Consolas" w:cs="Consolas" w:eastAsia="Consolas" w:hAnsi="Consolas"/>
                <w:sz w:val="18"/>
                <w:szCs w:val="18"/>
              </w:rPr>
              <w:t xml:space="preserve">      "author": {</w:t>
            </w:r>
          </w:p>
          <w:p>
            <w:pPr>
              <w:spacing w:after="0"/>
            </w:pPr>
            <w:r>
              <w:rPr>
                <w:rFonts w:ascii="Consolas" w:cs="Consolas" w:eastAsia="Consolas" w:hAnsi="Consolas"/>
                <w:sz w:val="18"/>
                <w:szCs w:val="18"/>
              </w:rPr>
              <w:t xml:space="preserve">        "@type": "Organization",</w:t>
            </w:r>
          </w:p>
          <w:p>
            <w:pPr>
              <w:spacing w:after="0"/>
            </w:pPr>
            <w:r>
              <w:rPr>
                <w:rFonts w:ascii="Consolas" w:cs="Consolas" w:eastAsia="Consolas" w:hAnsi="Consolas"/>
                <w:sz w:val="18"/>
                <w:szCs w:val="18"/>
              </w:rPr>
              <w:t xml:space="preserve">        "name": "Brand2Builds",</w:t>
            </w:r>
          </w:p>
          <w:p>
            <w:pPr>
              <w:spacing w:after="0"/>
            </w:pPr>
            <w:r>
              <w:rPr>
                <w:rFonts w:ascii="Consolas" w:cs="Consolas" w:eastAsia="Consolas" w:hAnsi="Consolas"/>
                <w:sz w:val="18"/>
                <w:szCs w:val="18"/>
              </w:rPr>
              <w:t xml:space="preserve">        "url": "https://www.brand2builds.com"</w:t>
            </w:r>
          </w:p>
          <w:p>
            <w:pPr>
              <w:spacing w:after="0"/>
            </w:pPr>
            <w:r>
              <w:rPr>
                <w:rFonts w:ascii="Consolas" w:cs="Consolas" w:eastAsia="Consolas" w:hAnsi="Consolas"/>
                <w:sz w:val="18"/>
                <w:szCs w:val="18"/>
              </w:rPr>
              <w:t xml:space="preserve">      },</w:t>
            </w:r>
          </w:p>
          <w:p>
            <w:pPr>
              <w:spacing w:after="0"/>
            </w:pPr>
            <w:r>
              <w:rPr>
                <w:rFonts w:ascii="Consolas" w:cs="Consolas" w:eastAsia="Consolas" w:hAnsi="Consolas"/>
                <w:sz w:val="18"/>
                <w:szCs w:val="18"/>
              </w:rPr>
              <w:t xml:space="preserve">      "publisher": {</w:t>
            </w:r>
          </w:p>
          <w:p>
            <w:pPr>
              <w:spacing w:after="0"/>
            </w:pPr>
            <w:r>
              <w:rPr>
                <w:rFonts w:ascii="Consolas" w:cs="Consolas" w:eastAsia="Consolas" w:hAnsi="Consolas"/>
                <w:sz w:val="18"/>
                <w:szCs w:val="18"/>
              </w:rPr>
              <w:t xml:space="preserve">        "@type": "Organization",</w:t>
            </w:r>
          </w:p>
          <w:p>
            <w:pPr>
              <w:spacing w:after="0"/>
            </w:pPr>
            <w:r>
              <w:rPr>
                <w:rFonts w:ascii="Consolas" w:cs="Consolas" w:eastAsia="Consolas" w:hAnsi="Consolas"/>
                <w:sz w:val="18"/>
                <w:szCs w:val="18"/>
              </w:rPr>
              <w:t xml:space="preserve">        "name": "Brand2Builds",</w:t>
            </w:r>
          </w:p>
          <w:p>
            <w:pPr>
              <w:spacing w:after="0"/>
            </w:pPr>
            <w:r>
              <w:rPr>
                <w:rFonts w:ascii="Consolas" w:cs="Consolas" w:eastAsia="Consolas" w:hAnsi="Consolas"/>
                <w:sz w:val="18"/>
                <w:szCs w:val="18"/>
              </w:rPr>
              <w:t xml:space="preserve">        "url": "https://www.brand2builds.com",</w:t>
            </w:r>
          </w:p>
          <w:p>
            <w:pPr>
              <w:spacing w:after="0"/>
            </w:pPr>
            <w:r>
              <w:rPr>
                <w:rFonts w:ascii="Consolas" w:cs="Consolas" w:eastAsia="Consolas" w:hAnsi="Consolas"/>
                <w:sz w:val="18"/>
                <w:szCs w:val="18"/>
              </w:rPr>
              <w:t xml:space="preserve">        "logo": {</w:t>
            </w:r>
          </w:p>
          <w:p>
            <w:pPr>
              <w:spacing w:after="0"/>
            </w:pPr>
            <w:r>
              <w:rPr>
                <w:rFonts w:ascii="Consolas" w:cs="Consolas" w:eastAsia="Consolas" w:hAnsi="Consolas"/>
                <w:sz w:val="18"/>
                <w:szCs w:val="18"/>
              </w:rPr>
              <w:t xml:space="preserve">          "@type": "ImageObject",</w:t>
            </w:r>
          </w:p>
          <w:p>
            <w:pPr>
              <w:spacing w:after="0"/>
            </w:pPr>
            <w:r>
              <w:rPr>
                <w:rFonts w:ascii="Consolas" w:cs="Consolas" w:eastAsia="Consolas" w:hAnsi="Consolas"/>
                <w:sz w:val="18"/>
                <w:szCs w:val="18"/>
              </w:rPr>
              <w:t xml:space="preserve">          "url": "https://www.brand2builds.com/images/logo.png"</w:t>
            </w:r>
          </w:p>
          <w:p>
            <w:pPr>
              <w:spacing w:after="0"/>
            </w:pPr>
            <w:r>
              <w:rPr>
                <w:rFonts w:ascii="Consolas" w:cs="Consolas" w:eastAsia="Consolas" w:hAnsi="Consolas"/>
                <w:sz w:val="18"/>
                <w:szCs w:val="18"/>
              </w:rPr>
              <w:t xml:space="preserve">        },</w:t>
            </w:r>
          </w:p>
          <w:p>
            <w:pPr>
              <w:spacing w:after="0"/>
            </w:pPr>
            <w:r>
              <w:rPr>
                <w:rFonts w:ascii="Consolas" w:cs="Consolas" w:eastAsia="Consolas" w:hAnsi="Consolas"/>
                <w:sz w:val="18"/>
                <w:szCs w:val="18"/>
              </w:rPr>
              <w:t xml:space="preserve">        "contactPoint": {</w:t>
            </w:r>
          </w:p>
          <w:p>
            <w:pPr>
              <w:spacing w:after="0"/>
            </w:pPr>
            <w:r>
              <w:rPr>
                <w:rFonts w:ascii="Consolas" w:cs="Consolas" w:eastAsia="Consolas" w:hAnsi="Consolas"/>
                <w:sz w:val="18"/>
                <w:szCs w:val="18"/>
              </w:rPr>
              <w:t xml:space="preserve">          "@type": "ContactPoint",</w:t>
            </w:r>
          </w:p>
          <w:p>
            <w:pPr>
              <w:spacing w:after="0"/>
            </w:pPr>
            <w:r>
              <w:rPr>
                <w:rFonts w:ascii="Consolas" w:cs="Consolas" w:eastAsia="Consolas" w:hAnsi="Consolas"/>
                <w:sz w:val="18"/>
                <w:szCs w:val="18"/>
              </w:rPr>
              <w:t xml:space="preserve">          "telephone": "+1-305-777-2139",</w:t>
            </w:r>
          </w:p>
          <w:p>
            <w:pPr>
              <w:spacing w:after="0"/>
            </w:pPr>
            <w:r>
              <w:rPr>
                <w:rFonts w:ascii="Consolas" w:cs="Consolas" w:eastAsia="Consolas" w:hAnsi="Consolas"/>
                <w:sz w:val="18"/>
                <w:szCs w:val="18"/>
              </w:rPr>
              <w:t xml:space="preserve">          "contactType": "sales"</w:t>
            </w:r>
          </w:p>
          <w:p>
            <w:pPr>
              <w:spacing w:after="0"/>
            </w:pPr>
            <w:r>
              <w:rPr>
                <w:rFonts w:ascii="Consolas" w:cs="Consolas" w:eastAsia="Consolas" w:hAnsi="Consolas"/>
                <w:sz w:val="18"/>
                <w:szCs w:val="18"/>
              </w:rPr>
              <w:t xml:space="preserve">        }</w:t>
            </w:r>
          </w:p>
          <w:p>
            <w:pPr>
              <w:spacing w:after="0"/>
            </w:pPr>
            <w:r>
              <w:rPr>
                <w:rFonts w:ascii="Consolas" w:cs="Consolas" w:eastAsia="Consolas" w:hAnsi="Consolas"/>
                <w:sz w:val="18"/>
                <w:szCs w:val="18"/>
              </w:rPr>
              <w:t xml:space="preserve">      },</w:t>
            </w:r>
          </w:p>
          <w:p>
            <w:pPr>
              <w:spacing w:after="0"/>
            </w:pPr>
            <w:r>
              <w:rPr>
                <w:rFonts w:ascii="Consolas" w:cs="Consolas" w:eastAsia="Consolas" w:hAnsi="Consolas"/>
                <w:sz w:val="18"/>
                <w:szCs w:val="18"/>
              </w:rPr>
              <w:t xml:space="preserve">      "mainEntityOfPage": {</w:t>
            </w:r>
          </w:p>
          <w:p>
            <w:pPr>
              <w:spacing w:after="0"/>
            </w:pPr>
            <w:r>
              <w:rPr>
                <w:rFonts w:ascii="Consolas" w:cs="Consolas" w:eastAsia="Consolas" w:hAnsi="Consolas"/>
                <w:sz w:val="18"/>
                <w:szCs w:val="18"/>
              </w:rPr>
              <w:t xml:space="preserve">        "@type": "WebPage",</w:t>
            </w:r>
          </w:p>
          <w:p>
            <w:pPr>
              <w:spacing w:after="0"/>
            </w:pPr>
            <w:r>
              <w:rPr>
                <w:rFonts w:ascii="Consolas" w:cs="Consolas" w:eastAsia="Consolas" w:hAnsi="Consolas"/>
                <w:sz w:val="18"/>
                <w:szCs w:val="18"/>
              </w:rPr>
              <w:t xml:space="preserve">        "@id": "https://www.brand2builds.com/blog/tenant-improvement-construction-franchise"</w:t>
            </w:r>
          </w:p>
          <w:p>
            <w:pPr>
              <w:spacing w:after="0"/>
            </w:pPr>
            <w:r>
              <w:rPr>
                <w:rFonts w:ascii="Consolas" w:cs="Consolas" w:eastAsia="Consolas" w:hAnsi="Consolas"/>
                <w:sz w:val="18"/>
                <w:szCs w:val="18"/>
              </w:rPr>
              <w:t xml:space="preserve">      },</w:t>
            </w:r>
          </w:p>
          <w:p>
            <w:pPr>
              <w:spacing w:after="0"/>
            </w:pPr>
            <w:r>
              <w:rPr>
                <w:rFonts w:ascii="Consolas" w:cs="Consolas" w:eastAsia="Consolas" w:hAnsi="Consolas"/>
                <w:sz w:val="18"/>
                <w:szCs w:val="18"/>
              </w:rPr>
              <w:t xml:space="preserve">      "keywords": "tenant improvement construction, TI allowance, TI allowance for restaurant franchises, how to maximize tenant improvement allowance, tenant improvement construction timeline, work letter, test-fit, remodel cycle costs, rentable square foot, landlord vs tenant managed construction",</w:t>
            </w:r>
          </w:p>
          <w:p>
            <w:pPr>
              <w:spacing w:after="0"/>
            </w:pPr>
            <w:r>
              <w:rPr>
                <w:rFonts w:ascii="Consolas" w:cs="Consolas" w:eastAsia="Consolas" w:hAnsi="Consolas"/>
                <w:sz w:val="18"/>
                <w:szCs w:val="18"/>
              </w:rPr>
              <w:t xml:space="preserve">      "articleSection": "Franchise Construction",</w:t>
            </w:r>
          </w:p>
          <w:p>
            <w:pPr>
              <w:spacing w:after="0"/>
            </w:pPr>
            <w:r>
              <w:rPr>
                <w:rFonts w:ascii="Consolas" w:cs="Consolas" w:eastAsia="Consolas" w:hAnsi="Consolas"/>
                <w:sz w:val="18"/>
                <w:szCs w:val="18"/>
              </w:rPr>
              <w:t xml:space="preserve">      "wordCount": 1513</w:t>
            </w:r>
          </w:p>
          <w:p>
            <w:pPr>
              <w:spacing w:after="0"/>
            </w:pPr>
            <w:r>
              <w:rPr>
                <w:rFonts w:ascii="Consolas" w:cs="Consolas" w:eastAsia="Consolas" w:hAnsi="Consolas"/>
                <w:sz w:val="18"/>
                <w:szCs w:val="18"/>
              </w:rPr>
              <w:t xml:space="preserve">    },</w:t>
            </w:r>
          </w:p>
          <w:p>
            <w:pPr>
              <w:spacing w:after="0"/>
            </w:pPr>
            <w:r>
              <w:rPr>
                <w:rFonts w:ascii="Consolas" w:cs="Consolas" w:eastAsia="Consolas" w:hAnsi="Consolas"/>
                <w:sz w:val="18"/>
                <w:szCs w:val="18"/>
              </w:rPr>
              <w:t xml:space="preserve">    {</w:t>
            </w:r>
          </w:p>
          <w:p>
            <w:pPr>
              <w:spacing w:after="0"/>
            </w:pPr>
            <w:r>
              <w:rPr>
                <w:rFonts w:ascii="Consolas" w:cs="Consolas" w:eastAsia="Consolas" w:hAnsi="Consolas"/>
                <w:sz w:val="18"/>
                <w:szCs w:val="18"/>
              </w:rPr>
              <w:t xml:space="preserve">      "@type": "FAQPage",</w:t>
            </w:r>
          </w:p>
          <w:p>
            <w:pPr>
              <w:spacing w:after="0"/>
            </w:pPr>
            <w:r>
              <w:rPr>
                <w:rFonts w:ascii="Consolas" w:cs="Consolas" w:eastAsia="Consolas" w:hAnsi="Consolas"/>
                <w:sz w:val="18"/>
                <w:szCs w:val="18"/>
              </w:rPr>
              <w:t xml:space="preserve">      "mainEntity": [</w:t>
            </w:r>
          </w:p>
          <w:p>
            <w:pPr>
              <w:spacing w:after="0"/>
            </w:pPr>
            <w:r>
              <w:rPr>
                <w:rFonts w:ascii="Consolas" w:cs="Consolas" w:eastAsia="Consolas" w:hAnsi="Consolas"/>
                <w:sz w:val="18"/>
                <w:szCs w:val="18"/>
              </w:rPr>
              <w:t xml:space="preserve">        {</w:t>
            </w:r>
          </w:p>
          <w:p>
            <w:pPr>
              <w:spacing w:after="0"/>
            </w:pPr>
            <w:r>
              <w:rPr>
                <w:rFonts w:ascii="Consolas" w:cs="Consolas" w:eastAsia="Consolas" w:hAnsi="Consolas"/>
                <w:sz w:val="18"/>
                <w:szCs w:val="18"/>
              </w:rPr>
              <w:t xml:space="preserve">          "@type": "Question",</w:t>
            </w:r>
          </w:p>
          <w:p>
            <w:pPr>
              <w:spacing w:after="0"/>
            </w:pPr>
            <w:r>
              <w:rPr>
                <w:rFonts w:ascii="Consolas" w:cs="Consolas" w:eastAsia="Consolas" w:hAnsi="Consolas"/>
                <w:sz w:val="18"/>
                <w:szCs w:val="18"/>
              </w:rPr>
              <w:t xml:space="preserve">          "name": "How much TI allowance should a restaurant franchise get?",</w:t>
            </w:r>
          </w:p>
          <w:p>
            <w:pPr>
              <w:spacing w:after="0"/>
            </w:pPr>
            <w:r>
              <w:rPr>
                <w:rFonts w:ascii="Consolas" w:cs="Consolas" w:eastAsia="Consolas" w:hAnsi="Consolas"/>
                <w:sz w:val="18"/>
                <w:szCs w:val="18"/>
              </w:rPr>
              <w:t xml:space="preserve">          "acceptedAnswer": {</w:t>
            </w:r>
          </w:p>
          <w:p>
            <w:pPr>
              <w:spacing w:after="0"/>
            </w:pPr>
            <w:r>
              <w:rPr>
                <w:rFonts w:ascii="Consolas" w:cs="Consolas" w:eastAsia="Consolas" w:hAnsi="Consolas"/>
                <w:sz w:val="18"/>
                <w:szCs w:val="18"/>
              </w:rPr>
              <w:t xml:space="preserve">            "@type": "Answer",</w:t>
            </w:r>
          </w:p>
          <w:p>
            <w:pPr>
              <w:spacing w:after="0"/>
            </w:pPr>
            <w:r>
              <w:rPr>
                <w:rFonts w:ascii="Consolas" w:cs="Consolas" w:eastAsia="Consolas" w:hAnsi="Consolas"/>
                <w:sz w:val="18"/>
                <w:szCs w:val="18"/>
              </w:rPr>
              <w:t xml:space="preserve">            "text": "There is no single number, but Terrapin Construction Group's 2026 benchmarks put restaurant allowances at roughly $40 to $100 per SF where a landlord wants a food tenant. Lease term, credit and how much the space needs all change the figure."</w:t>
            </w:r>
          </w:p>
          <w:p>
            <w:pPr>
              <w:spacing w:after="0"/>
            </w:pPr>
            <w:r>
              <w:rPr>
                <w:rFonts w:ascii="Consolas" w:cs="Consolas" w:eastAsia="Consolas" w:hAnsi="Consolas"/>
                <w:sz w:val="18"/>
                <w:szCs w:val="18"/>
              </w:rPr>
              <w:t xml:space="preserve">          }</w:t>
            </w:r>
          </w:p>
          <w:p>
            <w:pPr>
              <w:spacing w:after="0"/>
            </w:pPr>
            <w:r>
              <w:rPr>
                <w:rFonts w:ascii="Consolas" w:cs="Consolas" w:eastAsia="Consolas" w:hAnsi="Consolas"/>
                <w:sz w:val="18"/>
                <w:szCs w:val="18"/>
              </w:rPr>
              <w:t xml:space="preserve">        },</w:t>
            </w:r>
          </w:p>
          <w:p>
            <w:pPr>
              <w:spacing w:after="0"/>
            </w:pPr>
            <w:r>
              <w:rPr>
                <w:rFonts w:ascii="Consolas" w:cs="Consolas" w:eastAsia="Consolas" w:hAnsi="Consolas"/>
                <w:sz w:val="18"/>
                <w:szCs w:val="18"/>
              </w:rPr>
              <w:t xml:space="preserve">        {</w:t>
            </w:r>
          </w:p>
          <w:p>
            <w:pPr>
              <w:spacing w:after="0"/>
            </w:pPr>
            <w:r>
              <w:rPr>
                <w:rFonts w:ascii="Consolas" w:cs="Consolas" w:eastAsia="Consolas" w:hAnsi="Consolas"/>
                <w:sz w:val="18"/>
                <w:szCs w:val="18"/>
              </w:rPr>
              <w:t xml:space="preserve">          "@type": "Question",</w:t>
            </w:r>
          </w:p>
          <w:p>
            <w:pPr>
              <w:spacing w:after="0"/>
            </w:pPr>
            <w:r>
              <w:rPr>
                <w:rFonts w:ascii="Consolas" w:cs="Consolas" w:eastAsia="Consolas" w:hAnsi="Consolas"/>
                <w:sz w:val="18"/>
                <w:szCs w:val="18"/>
              </w:rPr>
              <w:t xml:space="preserve">          "name": "How long does tenant improvement construction take?",</w:t>
            </w:r>
          </w:p>
          <w:p>
            <w:pPr>
              <w:spacing w:after="0"/>
            </w:pPr>
            <w:r>
              <w:rPr>
                <w:rFonts w:ascii="Consolas" w:cs="Consolas" w:eastAsia="Consolas" w:hAnsi="Consolas"/>
                <w:sz w:val="18"/>
                <w:szCs w:val="18"/>
              </w:rPr>
              <w:t xml:space="preserve">          "acceptedAnswer": {</w:t>
            </w:r>
          </w:p>
          <w:p>
            <w:pPr>
              <w:spacing w:after="0"/>
            </w:pPr>
            <w:r>
              <w:rPr>
                <w:rFonts w:ascii="Consolas" w:cs="Consolas" w:eastAsia="Consolas" w:hAnsi="Consolas"/>
                <w:sz w:val="18"/>
                <w:szCs w:val="18"/>
              </w:rPr>
              <w:t xml:space="preserve">            "@type": "Answer",</w:t>
            </w:r>
          </w:p>
          <w:p>
            <w:pPr>
              <w:spacing w:after="0"/>
            </w:pPr>
            <w:r>
              <w:rPr>
                <w:rFonts w:ascii="Consolas" w:cs="Consolas" w:eastAsia="Consolas" w:hAnsi="Consolas"/>
                <w:sz w:val="18"/>
                <w:szCs w:val="18"/>
              </w:rPr>
              <w:t xml:space="preserve">            "text": "It depends on scope, shell condition and permit review times in your jurisdiction. Permits are usually the biggest variable. Your partner should give you a timeline based on similar projects in that market."</w:t>
            </w:r>
          </w:p>
          <w:p>
            <w:pPr>
              <w:spacing w:after="0"/>
            </w:pPr>
            <w:r>
              <w:rPr>
                <w:rFonts w:ascii="Consolas" w:cs="Consolas" w:eastAsia="Consolas" w:hAnsi="Consolas"/>
                <w:sz w:val="18"/>
                <w:szCs w:val="18"/>
              </w:rPr>
              <w:t xml:space="preserve">          }</w:t>
            </w:r>
          </w:p>
          <w:p>
            <w:pPr>
              <w:spacing w:after="0"/>
            </w:pPr>
            <w:r>
              <w:rPr>
                <w:rFonts w:ascii="Consolas" w:cs="Consolas" w:eastAsia="Consolas" w:hAnsi="Consolas"/>
                <w:sz w:val="18"/>
                <w:szCs w:val="18"/>
              </w:rPr>
              <w:t xml:space="preserve">        },</w:t>
            </w:r>
          </w:p>
          <w:p>
            <w:pPr>
              <w:spacing w:after="0"/>
            </w:pPr>
            <w:r>
              <w:rPr>
                <w:rFonts w:ascii="Consolas" w:cs="Consolas" w:eastAsia="Consolas" w:hAnsi="Consolas"/>
                <w:sz w:val="18"/>
                <w:szCs w:val="18"/>
              </w:rPr>
              <w:t xml:space="preserve">        {</w:t>
            </w:r>
          </w:p>
          <w:p>
            <w:pPr>
              <w:spacing w:after="0"/>
            </w:pPr>
            <w:r>
              <w:rPr>
                <w:rFonts w:ascii="Consolas" w:cs="Consolas" w:eastAsia="Consolas" w:hAnsi="Consolas"/>
                <w:sz w:val="18"/>
                <w:szCs w:val="18"/>
              </w:rPr>
              <w:t xml:space="preserve">          "@type": "Question",</w:t>
            </w:r>
          </w:p>
          <w:p>
            <w:pPr>
              <w:spacing w:after="0"/>
            </w:pPr>
            <w:r>
              <w:rPr>
                <w:rFonts w:ascii="Consolas" w:cs="Consolas" w:eastAsia="Consolas" w:hAnsi="Consolas"/>
                <w:sz w:val="18"/>
                <w:szCs w:val="18"/>
              </w:rPr>
              <w:t xml:space="preserve">          "name": "Who manages TI construction, the landlord or the tenant?",</w:t>
            </w:r>
          </w:p>
          <w:p>
            <w:pPr>
              <w:spacing w:after="0"/>
            </w:pPr>
            <w:r>
              <w:rPr>
                <w:rFonts w:ascii="Consolas" w:cs="Consolas" w:eastAsia="Consolas" w:hAnsi="Consolas"/>
                <w:sz w:val="18"/>
                <w:szCs w:val="18"/>
              </w:rPr>
              <w:t xml:space="preserve">          "acceptedAnswer": {</w:t>
            </w:r>
          </w:p>
          <w:p>
            <w:pPr>
              <w:spacing w:after="0"/>
            </w:pPr>
            <w:r>
              <w:rPr>
                <w:rFonts w:ascii="Consolas" w:cs="Consolas" w:eastAsia="Consolas" w:hAnsi="Consolas"/>
                <w:sz w:val="18"/>
                <w:szCs w:val="18"/>
              </w:rPr>
              <w:t xml:space="preserve">            "@type": "Answer",</w:t>
            </w:r>
          </w:p>
          <w:p>
            <w:pPr>
              <w:spacing w:after="0"/>
            </w:pPr>
            <w:r>
              <w:rPr>
                <w:rFonts w:ascii="Consolas" w:cs="Consolas" w:eastAsia="Consolas" w:hAnsi="Consolas"/>
                <w:sz w:val="18"/>
                <w:szCs w:val="18"/>
              </w:rPr>
              <w:t xml:space="preserve">            "text": "Either, depending on the lease. Landlord-managed work means less control for you; tenant-managed work means more control and more coordination. Franchise brands with strict prototypes often prefer tenant-managed work with an experienced partner."</w:t>
            </w:r>
          </w:p>
          <w:p>
            <w:pPr>
              <w:spacing w:after="0"/>
            </w:pPr>
            <w:r>
              <w:rPr>
                <w:rFonts w:ascii="Consolas" w:cs="Consolas" w:eastAsia="Consolas" w:hAnsi="Consolas"/>
                <w:sz w:val="18"/>
                <w:szCs w:val="18"/>
              </w:rPr>
              <w:t xml:space="preserve">          }</w:t>
            </w:r>
          </w:p>
          <w:p>
            <w:pPr>
              <w:spacing w:after="0"/>
            </w:pPr>
            <w:r>
              <w:rPr>
                <w:rFonts w:ascii="Consolas" w:cs="Consolas" w:eastAsia="Consolas" w:hAnsi="Consolas"/>
                <w:sz w:val="18"/>
                <w:szCs w:val="18"/>
              </w:rPr>
              <w:t xml:space="preserve">        },</w:t>
            </w:r>
          </w:p>
          <w:p>
            <w:pPr>
              <w:spacing w:after="0"/>
            </w:pPr>
            <w:r>
              <w:rPr>
                <w:rFonts w:ascii="Consolas" w:cs="Consolas" w:eastAsia="Consolas" w:hAnsi="Consolas"/>
                <w:sz w:val="18"/>
                <w:szCs w:val="18"/>
              </w:rPr>
              <w:t xml:space="preserve">        {</w:t>
            </w:r>
          </w:p>
          <w:p>
            <w:pPr>
              <w:spacing w:after="0"/>
            </w:pPr>
            <w:r>
              <w:rPr>
                <w:rFonts w:ascii="Consolas" w:cs="Consolas" w:eastAsia="Consolas" w:hAnsi="Consolas"/>
                <w:sz w:val="18"/>
                <w:szCs w:val="18"/>
              </w:rPr>
              <w:t xml:space="preserve">          "@type": "Question",</w:t>
            </w:r>
          </w:p>
          <w:p>
            <w:pPr>
              <w:spacing w:after="0"/>
            </w:pPr>
            <w:r>
              <w:rPr>
                <w:rFonts w:ascii="Consolas" w:cs="Consolas" w:eastAsia="Consolas" w:hAnsi="Consolas"/>
                <w:sz w:val="18"/>
                <w:szCs w:val="18"/>
              </w:rPr>
              <w:t xml:space="preserve">          "name": "Is a TI allowance paid upfront?",</w:t>
            </w:r>
          </w:p>
          <w:p>
            <w:pPr>
              <w:spacing w:after="0"/>
            </w:pPr>
            <w:r>
              <w:rPr>
                <w:rFonts w:ascii="Consolas" w:cs="Consolas" w:eastAsia="Consolas" w:hAnsi="Consolas"/>
                <w:sz w:val="18"/>
                <w:szCs w:val="18"/>
              </w:rPr>
              <w:t xml:space="preserve">          "acceptedAnswer": {</w:t>
            </w:r>
          </w:p>
          <w:p>
            <w:pPr>
              <w:spacing w:after="0"/>
            </w:pPr>
            <w:r>
              <w:rPr>
                <w:rFonts w:ascii="Consolas" w:cs="Consolas" w:eastAsia="Consolas" w:hAnsi="Consolas"/>
                <w:sz w:val="18"/>
                <w:szCs w:val="18"/>
              </w:rPr>
              <w:t xml:space="preserve">            "@type": "Answer",</w:t>
            </w:r>
          </w:p>
          <w:p>
            <w:pPr>
              <w:spacing w:after="0"/>
            </w:pPr>
            <w:r>
              <w:rPr>
                <w:rFonts w:ascii="Consolas" w:cs="Consolas" w:eastAsia="Consolas" w:hAnsi="Consolas"/>
                <w:sz w:val="18"/>
                <w:szCs w:val="18"/>
              </w:rPr>
              <w:t xml:space="preserve">            "text": "Usually not. Many landlords reimburse after work is complete and lien waivers are delivered. Some agree to progress payments, so it is worth negotiating."</w:t>
            </w:r>
          </w:p>
          <w:p>
            <w:pPr>
              <w:spacing w:after="0"/>
            </w:pPr>
            <w:r>
              <w:rPr>
                <w:rFonts w:ascii="Consolas" w:cs="Consolas" w:eastAsia="Consolas" w:hAnsi="Consolas"/>
                <w:sz w:val="18"/>
                <w:szCs w:val="18"/>
              </w:rPr>
              <w:t xml:space="preserve">          }</w:t>
            </w:r>
          </w:p>
          <w:p>
            <w:pPr>
              <w:spacing w:after="0"/>
            </w:pPr>
            <w:r>
              <w:rPr>
                <w:rFonts w:ascii="Consolas" w:cs="Consolas" w:eastAsia="Consolas" w:hAnsi="Consolas"/>
                <w:sz w:val="18"/>
                <w:szCs w:val="18"/>
              </w:rPr>
              <w:t xml:space="preserve">        }</w:t>
            </w:r>
          </w:p>
          <w:p>
            <w:pPr>
              <w:spacing w:after="0"/>
            </w:pPr>
            <w:r>
              <w:rPr>
                <w:rFonts w:ascii="Consolas" w:cs="Consolas" w:eastAsia="Consolas" w:hAnsi="Consolas"/>
                <w:sz w:val="18"/>
                <w:szCs w:val="18"/>
              </w:rPr>
              <w:t xml:space="preserve">      ]</w:t>
            </w:r>
          </w:p>
          <w:p>
            <w:pPr>
              <w:spacing w:after="0"/>
            </w:pPr>
            <w:r>
              <w:rPr>
                <w:rFonts w:ascii="Consolas" w:cs="Consolas" w:eastAsia="Consolas" w:hAnsi="Consolas"/>
                <w:sz w:val="18"/>
                <w:szCs w:val="18"/>
              </w:rPr>
              <w:t xml:space="preserve">    }</w:t>
            </w:r>
          </w:p>
          <w:p>
            <w:pPr>
              <w:spacing w:after="0"/>
            </w:pPr>
            <w:r>
              <w:rPr>
                <w:rFonts w:ascii="Consolas" w:cs="Consolas" w:eastAsia="Consolas" w:hAnsi="Consolas"/>
                <w:sz w:val="18"/>
                <w:szCs w:val="18"/>
              </w:rPr>
              <w:t xml:space="preserve">  ]</w:t>
            </w:r>
          </w:p>
          <w:p>
            <w:pPr>
              <w:spacing w:after="0"/>
            </w:pPr>
            <w:r>
              <w:rPr>
                <w:rFonts w:ascii="Consolas" w:cs="Consolas" w:eastAsia="Consolas" w:hAnsi="Consolas"/>
                <w:sz w:val="18"/>
                <w:szCs w:val="18"/>
              </w:rPr>
              <w:t xml:space="preserve">}</w:t>
            </w:r>
          </w:p>
          <w:p>
            <w:pPr>
              <w:spacing w:after="0"/>
            </w:pPr>
            <w:r>
              <w:rPr>
                <w:rFonts w:ascii="Consolas" w:cs="Consolas" w:eastAsia="Consolas" w:hAnsi="Consolas"/>
                <w:sz w:val="18"/>
                <w:szCs w:val="18"/>
              </w:rPr>
              <w:t xml:space="preserve">&lt;/script&gt;</w:t>
            </w:r>
          </w:p>
        </w:tc>
      </w:tr>
    </w:tbl>
    <w:p>
      <w:pPr>
        <w:spacing w:after="160" w:line="300"/>
      </w:pPr>
      <w:r>
        <w:rPr>
          <w:rFonts w:ascii="Calibri" w:cs="Calibri" w:eastAsia="Calibri" w:hAnsi="Calibri"/>
          <w:i/>
          <w:iCs/>
          <w:color w:val="595959"/>
          <w:sz w:val="20"/>
          <w:szCs w:val="20"/>
        </w:rPr>
        <w:t xml:space="preserve">Update datePublished, dateModified and the image URL to the real values when the post goes live.</w:t>
      </w:r>
    </w:p>
    <w:p>
      <w:pPr>
        <w:pStyle w:val="Heading3"/>
        <w:spacing w:after="90" w:before="220"/>
      </w:pPr>
      <w:r>
        <w:rPr>
          <w:rFonts w:ascii="Calibri" w:cs="Calibri" w:eastAsia="Calibri" w:hAnsi="Calibri"/>
          <w:b/>
          <w:bCs/>
          <w:color w:val="E8772E"/>
          <w:sz w:val="25"/>
          <w:szCs w:val="25"/>
        </w:rPr>
        <w:t xml:space="preserve">MidJourney prompt (featured image)</w:t>
      </w:r>
    </w:p>
    <w:p>
      <w:pPr>
        <w:spacing w:after="160" w:line="300"/>
      </w:pPr>
      <w:r>
        <w:rPr>
          <w:rFonts w:ascii="Consolas" w:cs="Consolas" w:eastAsia="Consolas" w:hAnsi="Consolas"/>
          <w:sz w:val="19"/>
          <w:szCs w:val="19"/>
        </w:rPr>
        <w:t xml:space="preserve">Editorial photograph of an empty second-generation restaurant space in a strip center, exposed ceiling and concrete floor, a large architectural floor plan and test-fit drawings spread across a folding table with a tape measure and laptop showing a cost spreadsheet without readable text, soft daylight through storefront glass, calm confident mood, wide angle, photorealistic, high detail --ar 16:9 --style raw --no text, letters, words, numbers, logos, signage, watermark</w:t>
      </w:r>
    </w:p>
    <w:sectPr>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27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2026-10-29T20:59:16.671Z</dcterms:created>
  <dcterms:modified xsi:type="dcterms:W3CDTF">2026-10-29T20:59:16.671Z</dcterms:modified>
</cp:coreProperties>
</file>

<file path=docProps/custom.xml><?xml version="1.0" encoding="utf-8"?>
<Properties xmlns="http://schemas.openxmlformats.org/officeDocument/2006/custom-properties" xmlns:vt="http://schemas.openxmlformats.org/officeDocument/2006/docPropsVTypes"/>
</file>