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500"/>
        <w:tblBorders>
          <w:top w:val="single" w:color="D9622B" w:sz="4"/>
          <w:left w:val="single" w:color="D9622B" w:sz="4"/>
          <w:bottom w:val="single" w:color="D9622B" w:sz="4"/>
          <w:right w:val="single" w:color="D9622B" w:sz="4"/>
          <w:insideH w:val="single" w:color="DADFE3" w:sz="2"/>
          <w:insideV w:val="single" w:color="DADFE3" w:sz="2"/>
        </w:tblBorders>
      </w:tblPr>
      <w:tblGrid>
        <w:gridCol w:w="2200"/>
        <w:gridCol w:w="7300"/>
      </w:tblGrid>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Title</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Is It Time to Change Your Franchise Architecture Firm?</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Description</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8 operational signs that your franchise architecture or rollout partner may no longer be serving your growth, and how to evaluate a potential replacement.</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URL Slug</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time-to-change-franchise-architecture-firm</w:t>
            </w:r>
          </w:p>
        </w:tc>
      </w:tr>
    </w:tbl>
    <w:p>
      <w:pPr>
        <w:spacing w:after="200"/>
      </w:pPr>
    </w:p>
    <w:p>
      <w:pPr>
        <w:pStyle w:val="Heading1"/>
        <w:spacing w:after="200"/>
      </w:pPr>
      <w:r>
        <w:rPr>
          <w:rFonts w:ascii="Calibri" w:cs="Calibri" w:eastAsia="Calibri" w:hAnsi="Calibri"/>
          <w:b/>
          <w:bCs/>
          <w:color w:val="1E3A5F"/>
          <w:sz w:val="40"/>
          <w:szCs w:val="40"/>
        </w:rPr>
        <w:t xml:space="preserve">Is It Time to Change Your Franchise Architecture Firm? 8 Signs to Look For</w:t>
      </w:r>
    </w:p>
    <w:p>
      <w:pPr>
        <w:pStyle w:val="Heading2"/>
        <w:spacing w:after="160" w:before="320"/>
      </w:pPr>
      <w:r>
        <w:rPr>
          <w:rFonts w:ascii="Calibri" w:cs="Calibri" w:eastAsia="Calibri" w:hAnsi="Calibri"/>
          <w:b/>
          <w:bCs/>
          <w:color w:val="1E3A5F"/>
          <w:sz w:val="28"/>
          <w:szCs w:val="28"/>
        </w:rPr>
        <w:t xml:space="preserve">Changing Firms Is Not Always the Answer, But It Is Worth Evaluating</w:t>
      </w:r>
    </w:p>
    <w:p>
      <w:pPr>
        <w:spacing w:after="180" w:line="300"/>
      </w:pPr>
      <w:r>
        <w:rPr>
          <w:rFonts w:ascii="Calibri" w:cs="Calibri" w:eastAsia="Calibri" w:hAnsi="Calibri"/>
          <w:i w:val="false"/>
          <w:iCs w:val="false"/>
          <w:color w:val="333333"/>
          <w:sz w:val="22"/>
          <w:szCs w:val="22"/>
        </w:rPr>
        <w:t>If your franchise brand already works with an architecture or rollout partner, questioning that relationship does not automatically mean it is time to leave. It means it is worth evaluating honestly against the operational signals below. A partner that worked well for a handful of locations does not always scale with a brand's growth, and recognizing that early is far less costly than discovering it after several delayed openings in a row. Most brands do not arrive at this question because of one bad project. They arrive at it after noticing the same kind of problem show up on the second or third location in a row, which is a very different signal than an isolated rough patch.</w:t>
      </w:r>
    </w:p>
    <w:p>
      <w:pPr>
        <w:pBdr>
          <w:bottom w:val="single" w:color="D9622B" w:sz="6" w:space="1"/>
        </w:pBdr>
        <w:spacing w:after="200" w:before="200"/>
      </w:pPr>
      <w:r>
        <w:t xml:space="preserve"/>
      </w:r>
    </w:p>
    <w:p>
      <w:pPr>
        <w:pStyle w:val="Heading2"/>
        <w:spacing w:after="160" w:before="320"/>
      </w:pPr>
      <w:r>
        <w:rPr>
          <w:rFonts w:ascii="Calibri" w:cs="Calibri" w:eastAsia="Calibri" w:hAnsi="Calibri"/>
          <w:b/>
          <w:bCs/>
          <w:color w:val="1E3A5F"/>
          <w:sz w:val="28"/>
          <w:szCs w:val="28"/>
        </w:rPr>
        <w:t xml:space="preserve">8 Signs It May Be Time for a Change</w:t>
      </w:r>
    </w:p>
    <w:p>
      <w:pPr>
        <w:pStyle w:val="ListParagraph"/>
        <w:numPr>
          <w:ilvl w:val="0"/>
          <w:numId w:val="2"/>
        </w:numPr>
        <w:spacing w:after="100"/>
      </w:pPr>
      <w:r>
        <w:rPr>
          <w:rFonts w:ascii="Calibri" w:cs="Calibri" w:eastAsia="Calibri" w:hAnsi="Calibri"/>
          <w:color w:val="333333"/>
          <w:sz w:val="22"/>
          <w:szCs w:val="22"/>
        </w:rPr>
        <w:t xml:space="preserve">Repeated delays that follow a pattern across multiple locations, not just one difficult project</w:t>
      </w:r>
    </w:p>
    <w:p>
      <w:pPr>
        <w:pStyle w:val="ListParagraph"/>
        <w:numPr>
          <w:ilvl w:val="0"/>
          <w:numId w:val="2"/>
        </w:numPr>
        <w:spacing w:after="100"/>
      </w:pPr>
      <w:r>
        <w:rPr>
          <w:rFonts w:ascii="Calibri" w:cs="Calibri" w:eastAsia="Calibri" w:hAnsi="Calibri"/>
          <w:color w:val="333333"/>
          <w:sz w:val="22"/>
          <w:szCs w:val="22"/>
        </w:rPr>
        <w:t xml:space="preserve">Slow communication, where questions sit unanswered and status updates require chasing</w:t>
      </w:r>
    </w:p>
    <w:p>
      <w:pPr>
        <w:pStyle w:val="ListParagraph"/>
        <w:numPr>
          <w:ilvl w:val="0"/>
          <w:numId w:val="2"/>
        </w:numPr>
        <w:spacing w:after="100"/>
      </w:pPr>
      <w:r>
        <w:rPr>
          <w:rFonts w:ascii="Calibri" w:cs="Calibri" w:eastAsia="Calibri" w:hAnsi="Calibri"/>
          <w:color w:val="333333"/>
          <w:sz w:val="22"/>
          <w:szCs w:val="22"/>
        </w:rPr>
        <w:t xml:space="preserve">Inconsistent drawings between locations that should be following the same prototype</w:t>
      </w:r>
    </w:p>
    <w:p>
      <w:pPr>
        <w:pStyle w:val="ListParagraph"/>
        <w:numPr>
          <w:ilvl w:val="0"/>
          <w:numId w:val="2"/>
        </w:numPr>
        <w:spacing w:after="100"/>
      </w:pPr>
      <w:r>
        <w:rPr>
          <w:rFonts w:ascii="Calibri" w:cs="Calibri" w:eastAsia="Calibri" w:hAnsi="Calibri"/>
          <w:color w:val="333333"/>
          <w:sz w:val="22"/>
          <w:szCs w:val="22"/>
        </w:rPr>
        <w:t xml:space="preserve">Recurring permitting problems across different jurisdictions, suggesting a process issue rather than one-off bad luck</w:t>
      </w:r>
    </w:p>
    <w:p>
      <w:pPr>
        <w:pStyle w:val="ListParagraph"/>
        <w:numPr>
          <w:ilvl w:val="0"/>
          <w:numId w:val="2"/>
        </w:numPr>
        <w:spacing w:after="100"/>
      </w:pPr>
      <w:r>
        <w:rPr>
          <w:rFonts w:ascii="Calibri" w:cs="Calibri" w:eastAsia="Calibri" w:hAnsi="Calibri"/>
          <w:color w:val="333333"/>
          <w:sz w:val="22"/>
          <w:szCs w:val="22"/>
        </w:rPr>
        <w:t xml:space="preserve">Lack of visibility across locations, making it hard to know the real status of any given project without asking directly</w:t>
      </w:r>
    </w:p>
    <w:p>
      <w:pPr>
        <w:pStyle w:val="ListParagraph"/>
        <w:numPr>
          <w:ilvl w:val="0"/>
          <w:numId w:val="2"/>
        </w:numPr>
        <w:spacing w:after="100"/>
      </w:pPr>
      <w:r>
        <w:rPr>
          <w:rFonts w:ascii="Calibri" w:cs="Calibri" w:eastAsia="Calibri" w:hAnsi="Calibri"/>
          <w:color w:val="333333"/>
          <w:sz w:val="22"/>
          <w:szCs w:val="22"/>
        </w:rPr>
        <w:t xml:space="preserve">Excessive rework, where drawings or scope require repeated revision cycles beyond what the project complexity would suggest</w:t>
      </w:r>
    </w:p>
    <w:p>
      <w:pPr>
        <w:pStyle w:val="ListParagraph"/>
        <w:numPr>
          <w:ilvl w:val="0"/>
          <w:numId w:val="2"/>
        </w:numPr>
        <w:spacing w:after="100"/>
      </w:pPr>
      <w:r>
        <w:rPr>
          <w:rFonts w:ascii="Calibri" w:cs="Calibri" w:eastAsia="Calibri" w:hAnsi="Calibri"/>
          <w:color w:val="333333"/>
          <w:sz w:val="22"/>
          <w:szCs w:val="22"/>
        </w:rPr>
        <w:t xml:space="preserve">Difficulty adapting the prototype to different jurisdictions, producing delays every time a new market has different requirements</w:t>
      </w:r>
    </w:p>
    <w:p>
      <w:pPr>
        <w:pStyle w:val="ListParagraph"/>
        <w:numPr>
          <w:ilvl w:val="0"/>
          <w:numId w:val="2"/>
        </w:numPr>
        <w:spacing w:after="100"/>
      </w:pPr>
      <w:r>
        <w:rPr>
          <w:rFonts w:ascii="Calibri" w:cs="Calibri" w:eastAsia="Calibri" w:hAnsi="Calibri"/>
          <w:color w:val="333333"/>
          <w:sz w:val="22"/>
          <w:szCs w:val="22"/>
        </w:rPr>
        <w:t xml:space="preserve">A partner that handled a handful of locations well but cannot support the current pace of expansion</w:t>
      </w:r>
    </w:p>
    <w:p>
      <w:pPr>
        <w:pStyle w:val="Heading3"/>
        <w:spacing w:after="120" w:before="220"/>
      </w:pPr>
      <w:r>
        <w:rPr>
          <w:rFonts w:ascii="Calibri" w:cs="Calibri" w:eastAsia="Calibri" w:hAnsi="Calibri"/>
          <w:b/>
          <w:bCs/>
          <w:color w:val="1E3A5F"/>
          <w:sz w:val="24"/>
          <w:szCs w:val="24"/>
        </w:rPr>
        <w:t xml:space="preserve">Reading the List as a Pattern, Not a Checklist</w:t>
      </w:r>
    </w:p>
    <w:p>
      <w:pPr>
        <w:spacing w:after="180" w:line="300"/>
      </w:pPr>
      <w:r>
        <w:rPr>
          <w:rFonts w:ascii="Calibri" w:cs="Calibri" w:eastAsia="Calibri" w:hAnsi="Calibri"/>
          <w:i w:val="false"/>
          <w:iCs w:val="false"/>
          <w:color w:val="333333"/>
          <w:sz w:val="22"/>
          <w:szCs w:val="22"/>
        </w:rPr>
        <w:t xml:space="preserve">No single item on this list, on its own, is necessarily disqualifying. Every project hits a rough patch, every partner has an off week, and every rollout eventually runs into a jurisdiction that is harder than expected. What separates an isolated issue from a signal worth acting on is repetition across multiple locations despite the problem being raised directly with the partner. A firm that communicates a delay clearly and adjusts its process afterward is behaving differently than one that offers the same explanation for the third time in a row. The list above is most useful when reviewed against your last several projects at once, not against whichever project happens to be causing frustration this week.</w:t>
      </w:r>
    </w:p>
    <w:p>
      <w:pPr>
        <w:pStyle w:val="Heading2"/>
        <w:spacing w:after="160" w:before="320"/>
      </w:pPr>
      <w:r>
        <w:rPr>
          <w:rFonts w:ascii="Calibri" w:cs="Calibri" w:eastAsia="Calibri" w:hAnsi="Calibri"/>
          <w:b/>
          <w:bCs/>
          <w:color w:val="1E3A5F"/>
          <w:sz w:val="28"/>
          <w:szCs w:val="28"/>
        </w:rPr>
        <w:t xml:space="preserve">What Staying With an Underperforming Partner Actually Costs</w:t>
      </w:r>
    </w:p>
    <w:p>
      <w:pPr>
        <w:spacing w:after="180" w:line="300"/>
      </w:pPr>
      <w:r>
        <w:rPr>
          <w:rFonts w:ascii="Calibri" w:cs="Calibri" w:eastAsia="Calibri" w:hAnsi="Calibri"/>
          <w:i w:val="false"/>
          <w:iCs w:val="false"/>
          <w:color w:val="333333"/>
          <w:sz w:val="22"/>
          <w:szCs w:val="22"/>
        </w:rPr>
        <w:t>The cost of staying with a partner who is no longer keeping pace is rarely just the visible delay on one project. It shows up as lost opening dates that ripple into revenue projections, internal management time spent compensating for gaps the partner should be covering, construction inefficiencies from drawings that were not coordinated well the first time, and frustration across franchisees and development teams who experience the same problems project after project. That last cost is easy to underweight, but a development team's confidence in the process affects how smoothly every future location moves. That erosion of confidence has a practical cost beyond morale. A development team that no longer trusts a stated opening date starts building in informal buffers of its own, which makes internal planning less accurate and often becomes a self-fulfilling source of delay, independent of whatever the architecture partner does on the next project.</w:t>
      </w:r>
    </w:p>
    <w:p>
      <w:pPr>
        <w:pStyle w:val="Heading2"/>
        <w:spacing w:after="160" w:before="320"/>
      </w:pPr>
      <w:r>
        <w:rPr>
          <w:rFonts w:ascii="Calibri" w:cs="Calibri" w:eastAsia="Calibri" w:hAnsi="Calibri"/>
          <w:b/>
          <w:bCs/>
          <w:color w:val="1E3A5F"/>
          <w:sz w:val="28"/>
          <w:szCs w:val="28"/>
        </w:rPr>
        <w:t xml:space="preserve">Evaluating a Potential Replacement Without Repeating the Mistake</w:t>
      </w:r>
    </w:p>
    <w:p>
      <w:pPr>
        <w:spacing w:after="180" w:line="300"/>
      </w:pPr>
      <w:r>
        <w:rPr>
          <w:rFonts w:ascii="Calibri" w:cs="Calibri" w:eastAsia="Calibri" w:hAnsi="Calibri"/>
          <w:i w:val="false"/>
          <w:iCs w:val="false"/>
          <w:color w:val="333333"/>
          <w:sz w:val="22"/>
          <w:szCs w:val="22"/>
        </w:rPr>
        <w:t xml:space="preserve">Switching partners only helps if the replacement is evaluated against the right criteria, not simply chosen because they made a good first impression. Look for:</w:t>
      </w:r>
    </w:p>
    <w:p>
      <w:pPr>
        <w:pStyle w:val="ListParagraph"/>
        <w:numPr>
          <w:ilvl w:val="0"/>
          <w:numId w:val="3"/>
        </w:numPr>
        <w:spacing w:after="100"/>
      </w:pPr>
      <w:r>
        <w:rPr>
          <w:rFonts w:ascii="Calibri" w:cs="Calibri" w:eastAsia="Calibri" w:hAnsi="Calibri"/>
          <w:color w:val="333333"/>
          <w:sz w:val="22"/>
          <w:szCs w:val="22"/>
        </w:rPr>
        <w:t xml:space="preserve">Multi-location experience, specifically with franchise rollouts rather than one-off commercial projects</w:t>
      </w:r>
    </w:p>
    <w:p>
      <w:pPr>
        <w:pStyle w:val="ListParagraph"/>
        <w:numPr>
          <w:ilvl w:val="0"/>
          <w:numId w:val="3"/>
        </w:numPr>
        <w:spacing w:after="100"/>
      </w:pPr>
      <w:r>
        <w:rPr>
          <w:rFonts w:ascii="Calibri" w:cs="Calibri" w:eastAsia="Calibri" w:hAnsi="Calibri"/>
          <w:color w:val="333333"/>
          <w:sz w:val="22"/>
          <w:szCs w:val="22"/>
        </w:rPr>
        <w:t xml:space="preserve">Scalable prototype systems that can adapt to jurisdiction-specific requirements without starting from scratch each time</w:t>
      </w:r>
    </w:p>
    <w:p>
      <w:pPr>
        <w:pStyle w:val="ListParagraph"/>
        <w:numPr>
          <w:ilvl w:val="0"/>
          <w:numId w:val="3"/>
        </w:numPr>
        <w:spacing w:after="100"/>
      </w:pPr>
      <w:r>
        <w:rPr>
          <w:rFonts w:ascii="Calibri" w:cs="Calibri" w:eastAsia="Calibri" w:hAnsi="Calibri"/>
          <w:color w:val="333333"/>
          <w:sz w:val="22"/>
          <w:szCs w:val="22"/>
        </w:rPr>
        <w:t xml:space="preserve">Permitting knowledge across the specific markets your brand operates or plans to expand into</w:t>
      </w:r>
    </w:p>
    <w:p>
      <w:pPr>
        <w:pStyle w:val="ListParagraph"/>
        <w:numPr>
          <w:ilvl w:val="0"/>
          <w:numId w:val="3"/>
        </w:numPr>
        <w:spacing w:after="100"/>
      </w:pPr>
      <w:r>
        <w:rPr>
          <w:rFonts w:ascii="Calibri" w:cs="Calibri" w:eastAsia="Calibri" w:hAnsi="Calibri"/>
          <w:color w:val="333333"/>
          <w:sz w:val="22"/>
          <w:szCs w:val="22"/>
        </w:rPr>
        <w:t xml:space="preserve">Proactive communication, including status updates that do not require the client to ask first</w:t>
      </w:r>
    </w:p>
    <w:p>
      <w:pPr>
        <w:pStyle w:val="ListParagraph"/>
        <w:numPr>
          <w:ilvl w:val="0"/>
          <w:numId w:val="3"/>
        </w:numPr>
        <w:spacing w:after="100"/>
      </w:pPr>
      <w:r>
        <w:rPr>
          <w:rFonts w:ascii="Calibri" w:cs="Calibri" w:eastAsia="Calibri" w:hAnsi="Calibri"/>
          <w:color w:val="333333"/>
          <w:sz w:val="22"/>
          <w:szCs w:val="22"/>
        </w:rPr>
        <w:t xml:space="preserve">Clear project ownership, so accountability for a delay or issue does not disappear between multiple parties</w:t>
      </w:r>
    </w:p>
    <w:p>
      <w:pPr>
        <w:pStyle w:val="ListParagraph"/>
        <w:numPr>
          <w:ilvl w:val="0"/>
          <w:numId w:val="3"/>
        </w:numPr>
        <w:spacing w:after="100"/>
      </w:pPr>
      <w:r>
        <w:rPr>
          <w:rFonts w:ascii="Calibri" w:cs="Calibri" w:eastAsia="Calibri" w:hAnsi="Calibri"/>
          <w:color w:val="333333"/>
          <w:sz w:val="22"/>
          <w:szCs w:val="22"/>
        </w:rPr>
        <w:t xml:space="preserve">Standardized documentation that stays consistent across every location in the rollout</w:t>
      </w:r>
    </w:p>
    <w:p>
      <w:pPr>
        <w:pStyle w:val="ListParagraph"/>
        <w:numPr>
          <w:ilvl w:val="0"/>
          <w:numId w:val="3"/>
        </w:numPr>
        <w:spacing w:after="100"/>
      </w:pPr>
      <w:r>
        <w:rPr>
          <w:rFonts w:ascii="Calibri" w:cs="Calibri" w:eastAsia="Calibri" w:hAnsi="Calibri"/>
          <w:color w:val="333333"/>
          <w:sz w:val="22"/>
          <w:szCs w:val="22"/>
        </w:rPr>
        <w:t xml:space="preserve">The ability to coordinate the entire process, from design through permitting and construction support, rather than only producing drawings and stepping back</w:t>
      </w:r>
    </w:p>
    <w:p>
      <w:pPr>
        <w:pStyle w:val="Heading3"/>
        <w:spacing w:after="120" w:before="220"/>
      </w:pPr>
      <w:r>
        <w:rPr>
          <w:rFonts w:ascii="Calibri" w:cs="Calibri" w:eastAsia="Calibri" w:hAnsi="Calibri"/>
          <w:b/>
          <w:bCs/>
          <w:color w:val="1E3A5F"/>
          <w:sz w:val="24"/>
          <w:szCs w:val="24"/>
        </w:rPr>
        <w:t xml:space="preserve">Weighing These Criteria Against Your Brand's Actual Growth Stage</w:t>
      </w:r>
    </w:p>
    <w:p>
      <w:pPr>
        <w:spacing w:after="180" w:line="300"/>
      </w:pPr>
      <w:r>
        <w:rPr>
          <w:rFonts w:ascii="Calibri" w:cs="Calibri" w:eastAsia="Calibri" w:hAnsi="Calibri"/>
          <w:i w:val="false"/>
          <w:iCs w:val="false"/>
          <w:color w:val="333333"/>
          <w:sz w:val="22"/>
          <w:szCs w:val="22"/>
        </w:rPr>
        <w:t xml:space="preserve">Not every criterion carries equal weight for every brand. A brand opening two locations a year in a single state has different priorities than one entering five new markets simultaneously. Multi-location experience and a scalable prototype system matter for both, but jurisdiction-specific permitting knowledge becomes far more valuable the more markets are involved at once, and standardized documentation becomes more valuable the more locations are moving through the pipeline in parallel. Ranking these criteria against your brand's specific growth trajectory, rather than treating the list as seven equally weighted boxes to check, produces a more useful evaluation than a generic scorecard applied the same way to every candidate.</w:t>
      </w:r>
    </w:p>
    <w:p>
      <w:pPr>
        <w:pStyle w:val="Heading2"/>
        <w:spacing w:after="160" w:before="320"/>
      </w:pPr>
      <w:r>
        <w:rPr>
          <w:rFonts w:ascii="Calibri" w:cs="Calibri" w:eastAsia="Calibri" w:hAnsi="Calibri"/>
          <w:b/>
          <w:bCs/>
          <w:color w:val="1E3A5F"/>
          <w:sz w:val="28"/>
          <w:szCs w:val="28"/>
        </w:rPr>
        <w:t xml:space="preserve">A Comparison Framework</w:t>
      </w:r>
    </w:p>
    <w:p>
      <w:pPr>
        <w:spacing w:after="180" w:line="300"/>
      </w:pPr>
      <w:r>
        <w:rPr>
          <w:rFonts w:ascii="Calibri" w:cs="Calibri" w:eastAsia="Calibri" w:hAnsi="Calibri"/>
          <w:i w:val="false"/>
          <w:iCs w:val="false"/>
          <w:color w:val="333333"/>
          <w:sz w:val="22"/>
          <w:szCs w:val="22"/>
        </w:rPr>
        <w:t xml:space="preserve">The table below breaks the same criteria into a side by side comparison, useful for a direct conversation with a current partner about where the relationship stands, or as a scorecard when evaluating a replacement.</w:t>
      </w:r>
    </w:p>
    <w:tbl>
      <w:tblPr>
        <w:tblW w:type="dxa" w:w="9500"/>
        <w:tblBorders>
          <w:top w:val="single" w:color="DADFE3" w:sz="2"/>
          <w:left w:val="single" w:color="DADFE3" w:sz="2"/>
          <w:bottom w:val="single" w:color="DADFE3" w:sz="2"/>
          <w:right w:val="single" w:color="DADFE3" w:sz="2"/>
          <w:insideH w:val="single" w:color="DADFE3" w:sz="2"/>
          <w:insideV w:val="single" w:color="DADFE3" w:sz="2"/>
        </w:tblBorders>
      </w:tblPr>
      <w:tblGrid>
        <w:gridCol w:w="2600"/>
        <w:gridCol w:w="3400"/>
        <w:gridCol w:w="3500"/>
      </w:tblGrid>
      <w:tr>
        <w:trPr>
          <w:tblHeader/>
        </w:trPr>
        <w:tc>
          <w:tcPr>
            <w:tcW w:type="dxa" w:w="26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Evaluation Criteria</w:t>
            </w:r>
          </w:p>
        </w:tc>
        <w:tc>
          <w:tcPr>
            <w:tcW w:type="dxa" w:w="34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Warning Sign</w:t>
            </w:r>
          </w:p>
        </w:tc>
        <w:tc>
          <w:tcPr>
            <w:tcW w:type="dxa" w:w="35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What Good Looks Like</w:t>
            </w:r>
          </w:p>
        </w:tc>
      </w:tr>
      <w:tr>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Communication</w:t>
            </w:r>
          </w:p>
        </w:tc>
        <w:tc>
          <w:tcPr>
            <w:tcW w:type="dxa" w:w="34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Updates require chasing; questions go unanswered</w:t>
            </w:r>
          </w:p>
        </w:tc>
        <w:tc>
          <w:tcPr>
            <w:tcW w:type="dxa" w:w="3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Proactive, consistent status updates</w:t>
            </w:r>
          </w:p>
        </w:tc>
      </w:tr>
      <w:tr>
        <w:tc>
          <w:tcPr>
            <w:tcW w:type="dxa" w:w="26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Prototype adaptation</w:t>
            </w:r>
          </w:p>
        </w:tc>
        <w:tc>
          <w:tcPr>
            <w:tcW w:type="dxa" w:w="34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Every new jurisdiction causes delays</w:t>
            </w:r>
          </w:p>
        </w:tc>
        <w:tc>
          <w:tcPr>
            <w:tcW w:type="dxa" w:w="3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Scalable system adapts with minimal rework</w:t>
            </w:r>
          </w:p>
        </w:tc>
      </w:tr>
      <w:tr>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Documentation</w:t>
            </w:r>
          </w:p>
        </w:tc>
        <w:tc>
          <w:tcPr>
            <w:tcW w:type="dxa" w:w="34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Drawings vary in quality between locations</w:t>
            </w:r>
          </w:p>
        </w:tc>
        <w:tc>
          <w:tcPr>
            <w:tcW w:type="dxa" w:w="3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Standardized, consistent documentation</w:t>
            </w:r>
          </w:p>
        </w:tc>
      </w:tr>
      <w:tr>
        <w:tc>
          <w:tcPr>
            <w:tcW w:type="dxa" w:w="26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Project ownership</w:t>
            </w:r>
          </w:p>
        </w:tc>
        <w:tc>
          <w:tcPr>
            <w:tcW w:type="dxa" w:w="34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Accountability unclear between parties</w:t>
            </w:r>
          </w:p>
        </w:tc>
        <w:tc>
          <w:tcPr>
            <w:tcW w:type="dxa" w:w="3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Single clear point of ownership</w:t>
            </w:r>
          </w:p>
        </w:tc>
      </w:tr>
      <w:tr>
        <w:tc>
          <w:tcPr>
            <w:tcW w:type="dxa" w:w="26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Scope of support</w:t>
            </w:r>
          </w:p>
        </w:tc>
        <w:tc>
          <w:tcPr>
            <w:tcW w:type="dxa" w:w="34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Drawings only, coordination left to the client</w:t>
            </w:r>
          </w:p>
        </w:tc>
        <w:tc>
          <w:tcPr>
            <w:tcW w:type="dxa" w:w="3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End-to-end coordination through construction</w:t>
            </w:r>
          </w:p>
        </w:tc>
      </w:tr>
    </w:tbl>
    <w:p>
      <w:pPr>
        <w:spacing w:after="200"/>
      </w:pPr>
    </w:p>
    <w:p>
      <w:pPr>
        <w:pStyle w:val="Heading2"/>
        <w:spacing w:after="160" w:before="320"/>
      </w:pPr>
      <w:r>
        <w:rPr>
          <w:rFonts w:ascii="Calibri" w:cs="Calibri" w:eastAsia="Calibri" w:hAnsi="Calibri"/>
          <w:b/>
          <w:bCs/>
          <w:color w:val="1E3A5F"/>
          <w:sz w:val="28"/>
          <w:szCs w:val="28"/>
        </w:rPr>
        <w:t xml:space="preserve">Improvement, Different Scope, or a Full Change?</w:t>
      </w:r>
    </w:p>
    <w:p>
      <w:pPr>
        <w:spacing w:after="180" w:line="300"/>
      </w:pPr>
      <w:r>
        <w:rPr>
          <w:rFonts w:ascii="Calibri" w:cs="Calibri" w:eastAsia="Calibri" w:hAnsi="Calibri"/>
          <w:i w:val="false"/>
          <w:iCs w:val="false"/>
          <w:color w:val="333333"/>
          <w:sz w:val="22"/>
          <w:szCs w:val="22"/>
        </w:rPr>
        <w:t>Not every relationship that shows warning signs needs to end entirely. Some issues are solvable with a direct conversation about communication expectations or a narrower scope change, such as bringing in additional permitting support for specific markets. The distinction worth making is whether the same problems keep appearing across multiple locations despite feedback, or whether this was an isolated rough project. If the pattern repeats across locations, the question is no longer how to fix the next project. It is whether you have the right partner for the next stage of growth. Framing the decision this way also removes some of the emotional weight from it. This is not a referendum on whether the original partner was a bad choice years ago. It is a question about whether that partner's current capabilities match what the brand needs for its next phase of growth.</w:t>
      </w:r>
    </w:p>
    <w:p>
      <w:pPr>
        <w:pStyle w:val="Heading2"/>
        <w:spacing w:after="160" w:before="320"/>
      </w:pPr>
      <w:r>
        <w:rPr>
          <w:rFonts w:ascii="Calibri" w:cs="Calibri" w:eastAsia="Calibri" w:hAnsi="Calibri"/>
          <w:b/>
          <w:bCs/>
          <w:color w:val="1E3A5F"/>
          <w:sz w:val="28"/>
          <w:szCs w:val="28"/>
        </w:rPr>
        <w:t xml:space="preserve">Making the Decision Deliberately</w:t>
      </w:r>
    </w:p>
    <w:p>
      <w:pPr>
        <w:spacing w:after="180" w:line="300"/>
      </w:pPr>
      <w:r>
        <w:rPr>
          <w:rFonts w:ascii="Calibri" w:cs="Calibri" w:eastAsia="Calibri" w:hAnsi="Calibri"/>
          <w:i w:val="false"/>
          <w:iCs w:val="false"/>
          <w:color w:val="333333"/>
          <w:sz w:val="22"/>
          <w:szCs w:val="22"/>
        </w:rPr>
        <w:t>The firms that navigate this decision well tend to document the specific pattern before acting on it: which locations experienced which issues, how the partner responded when the issues were raised, and whether the response actually changed the outcome on the next project. That record does two things. It removes the guesswork from an otherwise emotional decision, and it becomes a useful reference when evaluating replacement partners, since it defines exactly which capabilities matter most for your brand's specific growth stage rather than a generic list of desirable qualities. Brands that skip this documentation step and decide based on frustration alone often end up selecting a replacement for the wrong reasons, such as a smoother sales process, rather than for the operational capabilities that actually caused the original relationship to break down.</w:t>
      </w:r>
    </w:p>
    <w:p>
      <w:pPr>
        <w:pStyle w:val="Heading2"/>
        <w:spacing w:after="160" w:before="320"/>
      </w:pPr>
      <w:r>
        <w:rPr>
          <w:rFonts w:ascii="Calibri" w:cs="Calibri" w:eastAsia="Calibri" w:hAnsi="Calibri"/>
          <w:b/>
          <w:bCs/>
          <w:color w:val="1E3A5F"/>
          <w:sz w:val="28"/>
          <w:szCs w:val="28"/>
        </w:rPr>
        <w:t xml:space="preserve">What a Strong Transition Looks Like, If You Decide to Switch</w:t>
      </w:r>
    </w:p>
    <w:p>
      <w:pPr>
        <w:spacing w:after="180" w:line="300"/>
      </w:pPr>
      <w:r>
        <w:rPr>
          <w:rFonts w:ascii="Calibri" w:cs="Calibri" w:eastAsia="Calibri" w:hAnsi="Calibri"/>
          <w:i w:val="false"/>
          <w:iCs w:val="false"/>
          <w:color w:val="333333"/>
          <w:sz w:val="22"/>
          <w:szCs w:val="22"/>
        </w:rPr>
        <w:t xml:space="preserve">Changing partners mid-rollout is disruptive if it is not managed deliberately, but it does not have to derail the locations already in progress. A clean transition typically starts with a clear accounting of every project currently in motion and its exact status, so nothing falls into a gap between the outgoing and incoming firm. Existing drawings, permit submissions, and jurisdictional correspondence need to transfer completely, not just the prototype set, since an incoming firm working from an incomplete file is more likely to repeat the same permitting issues in the same markets. Setting expectations with franchisees early, particularly for any location currently mid-process, reduces the disruption on their end as well. The brands that navigate a partner change smoothly treat it as a project in its own right, with its own timeline and its own checklist, rather than something that happens quietly in the background.</w:t>
      </w:r>
    </w:p>
    <w:p>
      <w:pPr>
        <w:pStyle w:val="Heading2"/>
        <w:spacing w:after="160" w:before="320"/>
      </w:pPr>
      <w:r>
        <w:rPr>
          <w:rFonts w:ascii="Calibri" w:cs="Calibri" w:eastAsia="Calibri" w:hAnsi="Calibri"/>
          <w:b/>
          <w:bCs/>
          <w:color w:val="1E3A5F"/>
          <w:sz w:val="28"/>
          <w:szCs w:val="28"/>
        </w:rPr>
        <w:t xml:space="preserve">Frequently Asked Questions</w:t>
      </w:r>
    </w:p>
    <w:p>
      <w:pPr>
        <w:pStyle w:val="Heading3"/>
        <w:spacing w:after="120" w:before="220"/>
      </w:pPr>
      <w:r>
        <w:rPr>
          <w:rFonts w:ascii="Calibri" w:cs="Calibri" w:eastAsia="Calibri" w:hAnsi="Calibri"/>
          <w:b/>
          <w:bCs/>
          <w:color w:val="1E3A5F"/>
          <w:sz w:val="24"/>
          <w:szCs w:val="24"/>
        </w:rPr>
        <w:t xml:space="preserve">How do I know if my franchise architecture firm is no longer a good fit?</w:t>
      </w:r>
    </w:p>
    <w:p>
      <w:pPr>
        <w:spacing w:after="180" w:line="300"/>
      </w:pPr>
      <w:r>
        <w:rPr>
          <w:rFonts w:ascii="Calibri" w:cs="Calibri" w:eastAsia="Calibri" w:hAnsi="Calibri"/>
          <w:i w:val="false"/>
          <w:iCs w:val="false"/>
          <w:color w:val="333333"/>
          <w:sz w:val="22"/>
          <w:szCs w:val="22"/>
        </w:rPr>
        <w:t>Look for patterns across multiple locations rather than judging based on a single difficult project: repeated delays, inconsistent drawings, recurring permitting issues in different jurisdictions, and difficulty scaling the prototype are the clearest signals. A single conversation about a specific project rarely resolves a pattern; what matters is whether the pattern repeats after that conversation happens.</w:t>
      </w:r>
    </w:p>
    <w:p>
      <w:pPr>
        <w:pStyle w:val="Heading3"/>
        <w:spacing w:after="120" w:before="220"/>
      </w:pPr>
      <w:r>
        <w:rPr>
          <w:rFonts w:ascii="Calibri" w:cs="Calibri" w:eastAsia="Calibri" w:hAnsi="Calibri"/>
          <w:b/>
          <w:bCs/>
          <w:color w:val="1E3A5F"/>
          <w:sz w:val="24"/>
          <w:szCs w:val="24"/>
        </w:rPr>
        <w:t xml:space="preserve">What does it cost to stay with an underperforming rollout partner?</w:t>
      </w:r>
    </w:p>
    <w:p>
      <w:pPr>
        <w:spacing w:after="180" w:line="300"/>
      </w:pPr>
      <w:r>
        <w:rPr>
          <w:rFonts w:ascii="Calibri" w:cs="Calibri" w:eastAsia="Calibri" w:hAnsi="Calibri"/>
          <w:i w:val="false"/>
          <w:iCs w:val="false"/>
          <w:color w:val="333333"/>
          <w:sz w:val="22"/>
          <w:szCs w:val="22"/>
        </w:rPr>
        <w:t>Beyond the visible delays, it typically includes lost opening dates, additional internal management time, construction inefficiencies from poorly coordinated drawings, and frustration across franchisees and development teams. Most of these costs do not appear on an invoice, which is part of why they are easy to underestimate until they are added up across several projects.</w:t>
      </w:r>
    </w:p>
    <w:p>
      <w:pPr>
        <w:pStyle w:val="Heading3"/>
        <w:spacing w:after="120" w:before="220"/>
      </w:pPr>
      <w:r>
        <w:rPr>
          <w:rFonts w:ascii="Calibri" w:cs="Calibri" w:eastAsia="Calibri" w:hAnsi="Calibri"/>
          <w:b/>
          <w:bCs/>
          <w:color w:val="1E3A5F"/>
          <w:sz w:val="24"/>
          <w:szCs w:val="24"/>
        </w:rPr>
        <w:t xml:space="preserve">What should I look for when switching franchise architecture firms?</w:t>
      </w:r>
    </w:p>
    <w:p>
      <w:pPr>
        <w:spacing w:after="180" w:line="300"/>
      </w:pPr>
      <w:r>
        <w:rPr>
          <w:rFonts w:ascii="Calibri" w:cs="Calibri" w:eastAsia="Calibri" w:hAnsi="Calibri"/>
          <w:i w:val="false"/>
          <w:iCs w:val="false"/>
          <w:color w:val="333333"/>
          <w:sz w:val="22"/>
          <w:szCs w:val="22"/>
        </w:rPr>
        <w:t>Multi-location franchise experience, a scalable prototype system, jurisdiction-specific permitting knowledge, proactive communication, clear project ownership, standardized documentation, and end-to-end process coordination rather than drawings alone. Asking a prospective partner for specific examples of how they handled a delay or a difficult jurisdiction on a past rollout reveals more than asking about their general capabilities.</w:t>
      </w:r>
    </w:p>
    <w:p>
      <w:pPr>
        <w:pStyle w:val="Heading3"/>
        <w:spacing w:after="120" w:before="220"/>
      </w:pPr>
      <w:r>
        <w:rPr>
          <w:rFonts w:ascii="Calibri" w:cs="Calibri" w:eastAsia="Calibri" w:hAnsi="Calibri"/>
          <w:b/>
          <w:bCs/>
          <w:color w:val="1E3A5F"/>
          <w:sz w:val="24"/>
          <w:szCs w:val="24"/>
        </w:rPr>
        <w:t xml:space="preserve">Is it always better to switch architecture firms if there are problems?</w:t>
      </w:r>
    </w:p>
    <w:p>
      <w:pPr>
        <w:spacing w:after="180" w:line="300"/>
      </w:pPr>
      <w:r>
        <w:rPr>
          <w:rFonts w:ascii="Calibri" w:cs="Calibri" w:eastAsia="Calibri" w:hAnsi="Calibri"/>
          <w:i w:val="false"/>
          <w:iCs w:val="false"/>
          <w:color w:val="333333"/>
          <w:sz w:val="22"/>
          <w:szCs w:val="22"/>
        </w:rPr>
        <w:t>Not necessarily. Some issues are solvable through a direct conversation or a narrower scope adjustment. A full change makes more sense when the same problems repeat across multiple locations despite feedback. The clearest signal either way is what happens after that direct conversation takes place on the next project.</w:t>
      </w:r>
    </w:p>
    <w:tbl>
      <w:tblPr>
        <w:tblW w:type="dxa" w:w="9500"/>
        <w:tblBorders>
          <w:top w:val="single" w:color="1E3A5F" w:sz="4"/>
          <w:left w:val="single" w:color="1E3A5F" w:sz="4"/>
          <w:bottom w:val="single" w:color="1E3A5F" w:sz="4"/>
          <w:right w:val="single" w:color="1E3A5F" w:sz="4"/>
          <w:insideH w:val="single" w:color="auto" w:sz="4"/>
          <w:insideV w:val="single" w:color="auto" w:sz="4"/>
        </w:tblBorders>
      </w:tblPr>
      <w:tblGrid>
        <w:gridCol w:w="9500"/>
      </w:tblGrid>
      <w:tr>
        <w:tc>
          <w:tcPr>
            <w:tcW w:type="dxa" w:w="9500"/>
            <w:shd w:fill="1E3A5F" w:color="auto" w:val="clear"/>
            <w:tcMar>
              <w:top w:type="dxa" w:w="200"/>
              <w:left w:type="dxa" w:w="250"/>
              <w:bottom w:type="dxa" w:w="200"/>
              <w:right w:type="dxa" w:w="250"/>
            </w:tcMar>
          </w:tcPr>
          <w:p>
            <w:pPr>
              <w:spacing w:after="100"/>
            </w:pPr>
            <w:r>
              <w:rPr>
                <w:rFonts w:ascii="Calibri" w:cs="Calibri" w:eastAsia="Calibri" w:hAnsi="Calibri"/>
                <w:b/>
                <w:bCs/>
                <w:color w:val="FFFFFF"/>
                <w:sz w:val="26"/>
                <w:szCs w:val="26"/>
              </w:rPr>
              <w:t xml:space="preserve">Evaluating Your Next Stage of Growth</w:t>
            </w:r>
          </w:p>
          <w:p>
            <w:pPr>
              <w:spacing w:after="150"/>
            </w:pPr>
            <w:r>
              <w:rPr>
                <w:rFonts w:ascii="Calibri" w:cs="Calibri" w:eastAsia="Calibri" w:hAnsi="Calibri"/>
                <w:color w:val="E7ECF1"/>
                <w:sz w:val="21"/>
                <w:szCs w:val="21"/>
              </w:rPr>
              <w:t xml:space="preserve">Brand2Builds works with franchise brands whose current rollout process is not keeping pace with their growth, whether that means additional support, a different scope, or a full transition.</w:t>
            </w:r>
          </w:p>
          <w:p>
            <w:hyperlink w:history="1" r:id="rIdllenal4j0lxxzqhuizvzu">
              <w:r>
                <w:rPr>
                  <w:rFonts w:ascii="Calibri" w:cs="Calibri" w:eastAsia="Calibri" w:hAnsi="Calibri"/>
                  <w:b/>
                  <w:bCs/>
                  <w:color w:val="D9622B"/>
                  <w:sz w:val="22"/>
                  <w:szCs w:val="22"/>
                  <w:u w:val="single"/>
                </w:rPr>
                <w:t xml:space="preserve">Talk to Brand2Builds about your rollout partner →</w:t>
              </w:r>
            </w:hyperlink>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enal4j0lxxzqhuizvzu" Type="http://schemas.openxmlformats.org/officeDocument/2006/relationships/hyperlink" Target="https://REPLACE-WITH-BRAND2BUILDS-URL.com" TargetMode="Externa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2026-08-31T16:24:28.779Z</dcterms:created>
  <dcterms:modified xsi:type="dcterms:W3CDTF">2026-08-31T16:24:28.780Z</dcterms:modified>
</cp:coreProperties>
</file>

<file path=docProps/custom.xml><?xml version="1.0" encoding="utf-8"?>
<Properties xmlns="http://schemas.openxmlformats.org/officeDocument/2006/custom-properties" xmlns:vt="http://schemas.openxmlformats.org/officeDocument/2006/docPropsVTypes"/>
</file>